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center"/>
        <w:rPr>
          <w:rFonts w:ascii="Arial" w:hAnsi="Arial" w:cs="Arial"/>
          <w:b/>
          <w:smallCaps/>
          <w:sz w:val="22"/>
          <w:szCs w:val="22"/>
          <w:lang w:val="en-GB"/>
        </w:rPr>
      </w:pPr>
      <w:r w:rsidRPr="00440B9F">
        <w:rPr>
          <w:rFonts w:ascii="Arial" w:hAnsi="Arial" w:cs="Arial"/>
          <w:b/>
          <w:smallCaps/>
          <w:sz w:val="22"/>
          <w:szCs w:val="22"/>
          <w:lang w:val="en-GB"/>
        </w:rPr>
        <w:t>Chapter One:</w:t>
      </w:r>
    </w:p>
    <w:p w:rsidR="008A3BC5" w:rsidRPr="00440B9F" w:rsidRDefault="008A3BC5" w:rsidP="001761FF">
      <w:pPr>
        <w:pStyle w:val="BodyText"/>
        <w:ind w:left="2880" w:hanging="2880"/>
        <w:jc w:val="center"/>
        <w:rPr>
          <w:rFonts w:ascii="Arial" w:hAnsi="Arial" w:cs="Arial"/>
          <w:b/>
          <w:smallCaps/>
          <w:sz w:val="22"/>
          <w:szCs w:val="22"/>
          <w:lang w:val="en-GB"/>
        </w:rPr>
      </w:pPr>
      <w:r w:rsidRPr="00440B9F">
        <w:rPr>
          <w:rFonts w:ascii="Arial" w:hAnsi="Arial" w:cs="Arial"/>
          <w:b/>
          <w:smallCaps/>
          <w:sz w:val="22"/>
          <w:szCs w:val="22"/>
          <w:lang w:val="en-GB"/>
        </w:rPr>
        <w:t>The American Context:</w:t>
      </w:r>
    </w:p>
    <w:p w:rsidR="008A3BC5" w:rsidRPr="00440B9F" w:rsidRDefault="008A3BC5" w:rsidP="001761FF">
      <w:pPr>
        <w:pStyle w:val="BodyText"/>
        <w:ind w:left="2880" w:hanging="2880"/>
        <w:jc w:val="center"/>
        <w:rPr>
          <w:rFonts w:ascii="Arial" w:hAnsi="Arial" w:cs="Arial"/>
          <w:b/>
          <w:smallCaps/>
          <w:sz w:val="22"/>
          <w:szCs w:val="22"/>
          <w:lang w:val="en-GB"/>
        </w:rPr>
      </w:pPr>
      <w:r w:rsidRPr="00440B9F">
        <w:rPr>
          <w:rFonts w:ascii="Arial" w:hAnsi="Arial" w:cs="Arial"/>
          <w:b/>
          <w:smallCaps/>
          <w:sz w:val="22"/>
          <w:szCs w:val="22"/>
          <w:lang w:val="en-GB"/>
        </w:rPr>
        <w:t>Changes In The Antebellum United States</w:t>
      </w: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ind w:left="2880" w:hanging="2880"/>
        <w:jc w:val="both"/>
        <w:rPr>
          <w:rFonts w:ascii="Arial" w:hAnsi="Arial" w:cs="Arial"/>
          <w:b/>
          <w:smallCaps/>
          <w:sz w:val="22"/>
          <w:szCs w:val="22"/>
          <w:lang w:val="en-GB"/>
        </w:rPr>
      </w:pP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The Protestant Circle emerged during a period of transition within the history of the United States, when Americans sought to construct and assert a new and distinct identity. From the early to mid-nineteenth century, the population of the United States increased, due to both childbirth and immigration, which resulted in the urbanisation of the original states and the expansion onto the ‘western frontier’. New technologies like the steam-engine train transformed economic and trade systems, while decreasing the cost and time of travel across the ever-expanding national territory. Christianity in the United States was altered by the pluralisation of denominational affiliations and the development of new theologies, which challenged the previously strong influence of New England-based Calvinism. It was in this dynamic environment that a foreign missions movement emerged and a group of Americans felt called to pursue an evangelical endeavour to Ottoman Syria.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The aim of this chapter is to examine the normative American identity that developed during this period. The first section reviews the changing demographics of the United States during the early to mid-nineteenth century and the creation of the ‘American’ identity as white, middle class and Protestant. The second section concentrates upon Protestantism in the United States and examines the ways that the dominant New England-based Presbyterianism and Congregationalism were modified </w:t>
      </w:r>
      <w:r w:rsidRPr="00440B9F">
        <w:rPr>
          <w:rFonts w:ascii="Palatino Linotype" w:hAnsi="Palatino Linotype"/>
          <w:sz w:val="22"/>
          <w:szCs w:val="22"/>
          <w:lang w:val="en-GB"/>
        </w:rPr>
        <w:lastRenderedPageBreak/>
        <w:t>and challenged by the emergence of new theologies, individuals’ explorations of revival experiences and the pursuit of social reforms. The third section investigates the imaginative and real encounters between white, middle class Americans and foreign ‘others’, and the fragile position of Americans abroad. This chapter concludes with a review of how Americans classified the inhabitants of the eastern Mediterranean region as different groups of ‘others’. This material contextualises the emergence of the ABCFM within the dynamic environment of the early nineteenth century United States and describes the culture that they embodied and presented to the residents of Syria during their missionary encounter.</w:t>
      </w:r>
    </w:p>
    <w:p w:rsidR="008A3BC5" w:rsidRPr="00440B9F" w:rsidRDefault="008A3BC5" w:rsidP="001761FF">
      <w:pPr>
        <w:pStyle w:val="BodyText"/>
        <w:spacing w:line="360" w:lineRule="auto"/>
        <w:jc w:val="both"/>
        <w:rPr>
          <w:rFonts w:ascii="Palatino Linotype" w:hAnsi="Palatino Linotype"/>
          <w:sz w:val="22"/>
          <w:szCs w:val="22"/>
          <w:lang w:val="en-GB"/>
        </w:rPr>
      </w:pPr>
    </w:p>
    <w:p w:rsidR="008A3BC5" w:rsidRPr="00440B9F" w:rsidRDefault="008A3BC5" w:rsidP="001761FF">
      <w:pPr>
        <w:pStyle w:val="BodyText"/>
        <w:spacing w:line="360" w:lineRule="auto"/>
        <w:jc w:val="both"/>
        <w:rPr>
          <w:rFonts w:ascii="Palatino Linotype" w:hAnsi="Palatino Linotype"/>
          <w:sz w:val="22"/>
          <w:szCs w:val="22"/>
          <w:lang w:val="en-GB"/>
        </w:rPr>
      </w:pPr>
    </w:p>
    <w:p w:rsidR="008A3BC5" w:rsidRDefault="008A3BC5" w:rsidP="001761FF">
      <w:pPr>
        <w:pStyle w:val="BodyText"/>
        <w:spacing w:line="360" w:lineRule="auto"/>
        <w:jc w:val="center"/>
        <w:rPr>
          <w:rFonts w:ascii="Arial" w:hAnsi="Arial" w:cs="Arial"/>
          <w:smallCaps/>
          <w:lang w:val="en-GB"/>
        </w:rPr>
      </w:pPr>
      <w:r w:rsidRPr="00440B9F">
        <w:rPr>
          <w:rFonts w:ascii="Arial" w:hAnsi="Arial" w:cs="Arial"/>
          <w:smallCaps/>
          <w:sz w:val="22"/>
          <w:szCs w:val="22"/>
          <w:lang w:val="en-GB"/>
        </w:rPr>
        <w:t>Demarcating An ‘American’ Identity</w:t>
      </w:r>
    </w:p>
    <w:p w:rsidR="008A3BC5" w:rsidRPr="00440B9F" w:rsidRDefault="008A3BC5" w:rsidP="001761FF">
      <w:pPr>
        <w:pStyle w:val="BodyText"/>
        <w:spacing w:line="360" w:lineRule="auto"/>
        <w:jc w:val="center"/>
        <w:rPr>
          <w:rFonts w:ascii="Arial" w:hAnsi="Arial" w:cs="Arial"/>
          <w:smallCaps/>
          <w:sz w:val="22"/>
          <w:szCs w:val="22"/>
          <w:lang w:val="en-GB"/>
        </w:rPr>
      </w:pPr>
    </w:p>
    <w:p w:rsidR="008A3BC5" w:rsidRPr="00440B9F" w:rsidRDefault="008A3BC5" w:rsidP="001761FF">
      <w:pPr>
        <w:pStyle w:val="BodyText"/>
        <w:spacing w:line="360" w:lineRule="auto"/>
        <w:rPr>
          <w:rFonts w:ascii="Arial" w:hAnsi="Arial" w:cs="Arial"/>
          <w:i/>
          <w:smallCaps/>
          <w:sz w:val="22"/>
          <w:szCs w:val="22"/>
          <w:lang w:val="en-GB"/>
        </w:rPr>
      </w:pPr>
    </w:p>
    <w:p w:rsidR="008A3BC5" w:rsidRDefault="008A3BC5" w:rsidP="001761FF">
      <w:pPr>
        <w:pStyle w:val="BodyText"/>
        <w:spacing w:line="360" w:lineRule="auto"/>
        <w:jc w:val="both"/>
        <w:rPr>
          <w:rFonts w:ascii="Palatino Linotype" w:hAnsi="Palatino Linotype"/>
          <w:lang w:val="en-GB"/>
        </w:rPr>
        <w:sectPr w:rsidR="008A3BC5" w:rsidSect="001761FF">
          <w:footerReference w:type="default" r:id="rId8"/>
          <w:footnotePr>
            <w:numRestart w:val="eachSect"/>
          </w:footnotePr>
          <w:pgSz w:w="12240" w:h="15840"/>
          <w:pgMar w:top="1134" w:right="1418" w:bottom="2268" w:left="2268" w:header="562" w:footer="562" w:gutter="0"/>
          <w:cols w:space="720"/>
        </w:sectPr>
      </w:pPr>
      <w:r w:rsidRPr="00440B9F">
        <w:rPr>
          <w:rFonts w:ascii="Palatino Linotype" w:hAnsi="Palatino Linotype"/>
          <w:sz w:val="22"/>
          <w:szCs w:val="22"/>
          <w:lang w:val="en-GB"/>
        </w:rPr>
        <w:t>The Antebellum period can be regarded as the adolescence of the United States.</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Style w:val="FootnoteReference"/>
          <w:rFonts w:ascii="Palatino Linotype" w:hAnsi="Palatino Linotype"/>
          <w:sz w:val="22"/>
          <w:szCs w:val="22"/>
          <w:lang w:val="en-GB"/>
        </w:rPr>
        <w:footnoteReference w:id="2"/>
      </w:r>
      <w:r w:rsidRPr="00440B9F">
        <w:rPr>
          <w:rFonts w:ascii="Palatino Linotype" w:hAnsi="Palatino Linotype"/>
          <w:sz w:val="22"/>
          <w:szCs w:val="22"/>
          <w:lang w:val="en-GB"/>
        </w:rPr>
        <w:t xml:space="preserve"> During these years, Americans sought a coherent and recognisable identity as they settled into the security of their nation’s sovereignty. However, the actual definition of ‘America’ remained flexible, fluid and at times contradictory. This section investigates how Antebellum Americans’ negotiated the shifting boundaries of the United States, as a nation and a culture, and in so doing, produced a normative definition of America as white and middle class. This chapter argues that social reform movements, which included foreign missions, were central to this definition process, so that, although the ABCFM missionaries in Syria represent a unique group of individuals, they played a role in actualising this new ‘American’ norm.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War of 1812 solidified the sovereignty of then seventeen states of United States of America from its former coloniser, the United Kingdom.</w:t>
      </w:r>
      <w:r w:rsidRPr="00440B9F">
        <w:rPr>
          <w:rStyle w:val="FootnoteReference"/>
          <w:rFonts w:ascii="Palatino Linotype" w:hAnsi="Palatino Linotype"/>
          <w:sz w:val="22"/>
          <w:szCs w:val="22"/>
          <w:lang w:val="en-GB"/>
        </w:rPr>
        <w:footnoteReference w:id="3"/>
      </w:r>
      <w:r w:rsidRPr="00440B9F">
        <w:rPr>
          <w:rFonts w:ascii="Palatino Linotype" w:hAnsi="Palatino Linotype"/>
          <w:sz w:val="22"/>
          <w:szCs w:val="22"/>
          <w:lang w:val="en-GB"/>
        </w:rPr>
        <w:t xml:space="preserve"> By the commencement of the Civil War in 1861, the number of states increased to thirty-three, as the national boundary moved westward beyond the Mississippi River and included territories along Pacific coast.</w:t>
      </w:r>
      <w:r w:rsidRPr="00440B9F">
        <w:rPr>
          <w:rStyle w:val="FootnoteReference"/>
          <w:rFonts w:ascii="Palatino Linotype" w:hAnsi="Palatino Linotype"/>
          <w:sz w:val="22"/>
          <w:szCs w:val="22"/>
          <w:lang w:val="en-GB"/>
        </w:rPr>
        <w:footnoteReference w:id="4"/>
      </w:r>
      <w:r w:rsidRPr="00440B9F">
        <w:rPr>
          <w:rFonts w:ascii="Palatino Linotype" w:hAnsi="Palatino Linotype"/>
          <w:sz w:val="22"/>
          <w:szCs w:val="22"/>
          <w:lang w:val="en-GB"/>
        </w:rPr>
        <w:t xml:space="preserve"> The Monroe Doctrine of 1823 codified Americans’ imperial interests onto the western frontier and out over the entire hemisphere,</w:t>
      </w:r>
      <w:r w:rsidRPr="00440B9F">
        <w:rPr>
          <w:rStyle w:val="FootnoteReference"/>
          <w:rFonts w:ascii="Palatino Linotype" w:hAnsi="Palatino Linotype"/>
          <w:sz w:val="22"/>
          <w:szCs w:val="22"/>
          <w:lang w:val="en-GB"/>
        </w:rPr>
        <w:footnoteReference w:id="5"/>
      </w:r>
      <w:r w:rsidRPr="00440B9F">
        <w:rPr>
          <w:rFonts w:ascii="Palatino Linotype" w:hAnsi="Palatino Linotype"/>
          <w:sz w:val="22"/>
          <w:szCs w:val="22"/>
          <w:lang w:val="en-GB"/>
        </w:rPr>
        <w:t xml:space="preserve"> while travellers’ maps outlined potential routes over the wild spaces of the new territories.</w:t>
      </w:r>
      <w:r w:rsidRPr="00440B9F">
        <w:rPr>
          <w:rStyle w:val="FootnoteReference"/>
          <w:rFonts w:ascii="Palatino Linotype" w:hAnsi="Palatino Linotype"/>
          <w:sz w:val="22"/>
          <w:szCs w:val="22"/>
          <w:lang w:val="en-GB"/>
        </w:rPr>
        <w:footnoteReference w:id="6"/>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This territorial expansion affected the American identity and society. The ‘west’ was an ambiguous and amorphous term, which, depending on the person and the year, referred to areas in western New York State or the newly settled territories beyond the Mississippi River. Regardless of its actual location, the ‘west’ was a vacant space where innovative customs and institutions were formed through the adaptation of culture from the eastern states to the new environment.</w:t>
      </w:r>
      <w:r w:rsidRPr="00440B9F">
        <w:rPr>
          <w:rStyle w:val="FootnoteReference"/>
          <w:rFonts w:ascii="Palatino Linotype" w:hAnsi="Palatino Linotype"/>
          <w:sz w:val="22"/>
          <w:szCs w:val="22"/>
          <w:lang w:val="en-GB"/>
        </w:rPr>
        <w:footnoteReference w:id="7"/>
      </w:r>
      <w:r w:rsidRPr="00440B9F">
        <w:rPr>
          <w:rFonts w:ascii="Palatino Linotype" w:hAnsi="Palatino Linotype"/>
          <w:sz w:val="22"/>
          <w:szCs w:val="22"/>
          <w:lang w:val="en-GB"/>
        </w:rPr>
        <w:t xml:space="preserve"> This liberality created the potential for moral, cultural and religious looseness, so that many in the eastern states feared that residents of the west would ‘falter and fall back into a dark minded, vicious populace--a poor, uneducated, reckless mass of infuriated animalism, to rush on resistless as the tornado, or to burn as if set on fire of hell.’</w:t>
      </w:r>
      <w:r w:rsidRPr="00440B9F">
        <w:rPr>
          <w:rStyle w:val="FootnoteReference"/>
          <w:rFonts w:ascii="Palatino Linotype" w:hAnsi="Palatino Linotype"/>
          <w:sz w:val="22"/>
          <w:szCs w:val="22"/>
          <w:lang w:val="en-GB"/>
        </w:rPr>
        <w:footnoteReference w:id="8"/>
      </w:r>
      <w:r w:rsidRPr="00440B9F">
        <w:rPr>
          <w:rFonts w:ascii="Palatino Linotype" w:hAnsi="Palatino Linotype"/>
          <w:sz w:val="22"/>
          <w:szCs w:val="22"/>
          <w:lang w:val="en-GB"/>
        </w:rPr>
        <w:t xml:space="preserve"> One way to prevent this moral regression was through sending missionaries, social reformers and teachers to the new territories.</w:t>
      </w:r>
      <w:r w:rsidRPr="00440B9F">
        <w:rPr>
          <w:rStyle w:val="FootnoteReference"/>
          <w:rFonts w:ascii="Palatino Linotype" w:hAnsi="Palatino Linotype"/>
          <w:sz w:val="22"/>
          <w:szCs w:val="22"/>
          <w:lang w:val="en-GB"/>
        </w:rPr>
        <w:footnoteReference w:id="9"/>
      </w:r>
      <w:r w:rsidRPr="00440B9F">
        <w:rPr>
          <w:rFonts w:ascii="Palatino Linotype" w:hAnsi="Palatino Linotype"/>
          <w:sz w:val="22"/>
          <w:szCs w:val="22"/>
          <w:lang w:val="en-GB"/>
        </w:rPr>
        <w:t xml:space="preserve"> This branch of mission work was labelled as ‘Home’ or ‘Domestic’ missions, which complemented the activities of the ‘Foreign’ missions to stations ‘outside’ United States.</w:t>
      </w:r>
      <w:r w:rsidRPr="00440B9F">
        <w:rPr>
          <w:rStyle w:val="FootnoteReference"/>
          <w:rFonts w:ascii="Palatino Linotype" w:hAnsi="Palatino Linotype"/>
          <w:sz w:val="22"/>
          <w:szCs w:val="22"/>
          <w:lang w:val="en-GB"/>
        </w:rPr>
        <w:footnoteReference w:id="10"/>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Although the residents of the frontier were targeted for missions, the communities that formed around ‘Home’ and ‘Foreign’ missions often developed and functioned in a manner similar to secular frontier towns and institutions.</w:t>
      </w:r>
      <w:r w:rsidRPr="00440B9F">
        <w:rPr>
          <w:rFonts w:ascii="Palatino Linotype" w:hAnsi="Palatino Linotype"/>
          <w:sz w:val="22"/>
          <w:szCs w:val="22"/>
          <w:vertAlign w:val="superscript"/>
          <w:lang w:val="en-GB"/>
        </w:rPr>
        <w:footnoteReference w:id="11"/>
      </w:r>
      <w:r w:rsidRPr="00440B9F">
        <w:rPr>
          <w:rFonts w:ascii="Palatino Linotype" w:hAnsi="Palatino Linotype"/>
          <w:sz w:val="22"/>
          <w:szCs w:val="22"/>
          <w:lang w:val="en-GB"/>
        </w:rPr>
        <w:t xml:space="preserve"> Like the libertarian stances and innovative culture expressed by frontiersmen and women, the mission field functioned as an open ecclesiastical space where missionaries articulated and pursued their unique religious and social callings.</w:t>
      </w:r>
      <w:r w:rsidRPr="00440B9F">
        <w:rPr>
          <w:rStyle w:val="FootnoteReference"/>
          <w:rFonts w:ascii="Palatino Linotype" w:hAnsi="Palatino Linotype"/>
          <w:sz w:val="22"/>
          <w:szCs w:val="22"/>
          <w:lang w:val="en-GB"/>
        </w:rPr>
        <w:footnoteReference w:id="12"/>
      </w:r>
      <w:r w:rsidRPr="00440B9F">
        <w:rPr>
          <w:rFonts w:ascii="Palatino Linotype" w:hAnsi="Palatino Linotype"/>
          <w:sz w:val="22"/>
          <w:szCs w:val="22"/>
          <w:lang w:val="en-GB"/>
        </w:rPr>
        <w:t xml:space="preserve"> Recognising mission communities as a type of frontier space helps us to understand the complexities that surrounded the ABCFM’s work in Ottoman Syria and the hybrid culture of the Protestant Circle.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movement and settlement of Americans on the frontier and mission field was encouraged by the technological advances that defined the Industrial Revolution of the early nineteenth century.</w:t>
      </w:r>
      <w:r w:rsidRPr="00440B9F">
        <w:rPr>
          <w:rFonts w:ascii="Palatino Linotype" w:hAnsi="Palatino Linotype"/>
          <w:sz w:val="22"/>
          <w:szCs w:val="22"/>
          <w:vertAlign w:val="superscript"/>
          <w:lang w:val="en-GB"/>
        </w:rPr>
        <w:footnoteReference w:id="13"/>
      </w:r>
      <w:r w:rsidRPr="00440B9F">
        <w:rPr>
          <w:rFonts w:ascii="Palatino Linotype" w:hAnsi="Palatino Linotype"/>
          <w:sz w:val="22"/>
          <w:szCs w:val="22"/>
          <w:lang w:val="en-GB"/>
        </w:rPr>
        <w:t xml:space="preserve"> Innovations in steam ship technology and the extension of waterways eased the movement of both humans and goods.</w:t>
      </w:r>
      <w:r w:rsidRPr="00440B9F">
        <w:rPr>
          <w:rStyle w:val="FootnoteReference"/>
          <w:rFonts w:ascii="Palatino Linotype" w:hAnsi="Palatino Linotype"/>
          <w:sz w:val="22"/>
          <w:szCs w:val="22"/>
          <w:lang w:val="en-GB"/>
        </w:rPr>
        <w:footnoteReference w:id="14"/>
      </w:r>
      <w:r w:rsidRPr="00440B9F">
        <w:rPr>
          <w:rFonts w:ascii="Palatino Linotype" w:hAnsi="Palatino Linotype"/>
          <w:sz w:val="22"/>
          <w:szCs w:val="22"/>
          <w:lang w:val="en-GB"/>
        </w:rPr>
        <w:t xml:space="preserve"> The mapping and regulation of the land was further extended through the introduction of rail roads and the process of laying down track. Travellers’ guides often compared the speed, destinations and possibilities for short excursions by stagecoach, canal and railroad, but were continuously upgraded, for the technological and transportation changes quickly made printed information outdated.</w:t>
      </w:r>
      <w:r w:rsidRPr="00440B9F">
        <w:rPr>
          <w:rFonts w:ascii="Palatino Linotype" w:hAnsi="Palatino Linotype"/>
          <w:sz w:val="22"/>
          <w:szCs w:val="22"/>
          <w:vertAlign w:val="superscript"/>
          <w:lang w:val="en-GB"/>
        </w:rPr>
        <w:footnoteReference w:id="15"/>
      </w:r>
      <w:r w:rsidRPr="00440B9F">
        <w:rPr>
          <w:rFonts w:ascii="Palatino Linotype" w:hAnsi="Palatino Linotype"/>
          <w:sz w:val="22"/>
          <w:szCs w:val="22"/>
          <w:lang w:val="en-GB"/>
        </w:rPr>
        <w:t xml:space="preserve">  </w:t>
      </w:r>
      <w:r w:rsidRPr="00440B9F">
        <w:rPr>
          <w:rFonts w:ascii="Palatino Linotype" w:hAnsi="Palatino Linotype"/>
          <w:sz w:val="22"/>
          <w:szCs w:val="22"/>
          <w:lang w:val="en-GB"/>
        </w:rPr>
        <w:tab/>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increased connectivity influenced changes in the economic and social systems of the United States. For example, goods previously made at home were increasingly produced en mass at factories and bought by the consumer at the market or through catalogues.</w:t>
      </w:r>
      <w:r w:rsidRPr="00440B9F">
        <w:rPr>
          <w:rStyle w:val="FootnoteReference"/>
          <w:rFonts w:ascii="Palatino Linotype" w:hAnsi="Palatino Linotype"/>
          <w:sz w:val="22"/>
          <w:szCs w:val="22"/>
          <w:lang w:val="en-GB"/>
        </w:rPr>
        <w:footnoteReference w:id="16"/>
      </w:r>
      <w:r w:rsidRPr="00440B9F">
        <w:rPr>
          <w:rFonts w:ascii="Palatino Linotype" w:hAnsi="Palatino Linotype"/>
          <w:sz w:val="22"/>
          <w:szCs w:val="22"/>
          <w:lang w:val="en-GB"/>
        </w:rPr>
        <w:t xml:space="preserve"> The time saved in purchasing, not producing, goods increased the leisure time available to middle class men and women, which they often used to pursue an education or advocate societal reforms. These interests became important aspects of the middle class American identity,</w:t>
      </w:r>
      <w:r w:rsidRPr="00440B9F">
        <w:rPr>
          <w:rStyle w:val="FootnoteReference"/>
          <w:rFonts w:ascii="Palatino Linotype" w:hAnsi="Palatino Linotype"/>
          <w:sz w:val="22"/>
          <w:szCs w:val="22"/>
          <w:lang w:val="en-GB"/>
        </w:rPr>
        <w:footnoteReference w:id="17"/>
      </w:r>
      <w:r w:rsidRPr="00440B9F">
        <w:rPr>
          <w:rFonts w:ascii="Palatino Linotype" w:hAnsi="Palatino Linotype"/>
          <w:sz w:val="22"/>
          <w:szCs w:val="22"/>
          <w:lang w:val="en-GB"/>
        </w:rPr>
        <w:t xml:space="preserve"> and were contrasted to the activities of poorer men and women, whose time was monopolised by work at factories or as servants in the homes where ready-made goods were displayed.</w:t>
      </w:r>
      <w:r w:rsidRPr="00440B9F">
        <w:rPr>
          <w:rStyle w:val="FootnoteReference"/>
          <w:rFonts w:ascii="Palatino Linotype" w:hAnsi="Palatino Linotype"/>
          <w:sz w:val="22"/>
          <w:szCs w:val="22"/>
          <w:lang w:val="en-GB"/>
        </w:rPr>
        <w:footnoteReference w:id="18"/>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This economic stratification increasingly defined Antebellum American society, in which the middle class emerged as the normative ideal for the American identity. For example, by mid-century, the middle class suburban cottage became the ideal American home,</w:t>
      </w:r>
      <w:r w:rsidRPr="00440B9F">
        <w:rPr>
          <w:rStyle w:val="FootnoteReference"/>
          <w:rFonts w:ascii="Palatino Linotype" w:hAnsi="Palatino Linotype"/>
          <w:sz w:val="22"/>
          <w:szCs w:val="22"/>
          <w:lang w:val="en-GB"/>
        </w:rPr>
        <w:footnoteReference w:id="19"/>
      </w:r>
      <w:r w:rsidRPr="00440B9F">
        <w:rPr>
          <w:rFonts w:ascii="Palatino Linotype" w:hAnsi="Palatino Linotype"/>
          <w:sz w:val="22"/>
          <w:szCs w:val="22"/>
          <w:lang w:val="en-GB"/>
        </w:rPr>
        <w:t xml:space="preserve"> for it ensured the appropriate separation of activities into different rooms, and provided access to fresh air and water.</w:t>
      </w:r>
      <w:r w:rsidRPr="00440B9F">
        <w:rPr>
          <w:rStyle w:val="FootnoteReference"/>
          <w:rFonts w:ascii="Palatino Linotype" w:hAnsi="Palatino Linotype"/>
          <w:sz w:val="22"/>
          <w:szCs w:val="22"/>
          <w:lang w:val="en-GB"/>
        </w:rPr>
        <w:footnoteReference w:id="20"/>
      </w:r>
      <w:r w:rsidRPr="00440B9F">
        <w:rPr>
          <w:rFonts w:ascii="Palatino Linotype" w:hAnsi="Palatino Linotype"/>
          <w:sz w:val="22"/>
          <w:szCs w:val="22"/>
          <w:lang w:val="en-GB"/>
        </w:rPr>
        <w:t xml:space="preserve"> This home contrasted the residencies of the urban poor, who lived in poorly divided tenements located in dirty and dangerous cities.</w:t>
      </w:r>
      <w:r w:rsidRPr="00440B9F">
        <w:rPr>
          <w:rStyle w:val="FootnoteReference"/>
          <w:rFonts w:ascii="Palatino Linotype" w:hAnsi="Palatino Linotype"/>
          <w:sz w:val="22"/>
          <w:szCs w:val="22"/>
          <w:lang w:val="en-GB"/>
        </w:rPr>
        <w:footnoteReference w:id="21"/>
      </w:r>
      <w:r w:rsidRPr="00440B9F">
        <w:rPr>
          <w:rFonts w:ascii="Palatino Linotype" w:hAnsi="Palatino Linotype"/>
          <w:sz w:val="22"/>
          <w:szCs w:val="22"/>
          <w:lang w:val="en-GB"/>
        </w:rPr>
        <w:t xml:space="preserve"> The demands of work left tenement dwellers little spare time to educate their children, engage in family worship or attend religious services, which were requirements of ‘properly pious living’, which was believed to take place at the middle class suburban setting.</w:t>
      </w:r>
      <w:r w:rsidRPr="00440B9F">
        <w:rPr>
          <w:rStyle w:val="FootnoteReference"/>
          <w:rFonts w:ascii="Palatino Linotype" w:hAnsi="Palatino Linotype"/>
          <w:sz w:val="22"/>
          <w:szCs w:val="22"/>
          <w:lang w:val="en-GB"/>
        </w:rPr>
        <w:footnoteReference w:id="22"/>
      </w:r>
      <w:r w:rsidRPr="00440B9F">
        <w:rPr>
          <w:rFonts w:ascii="Palatino Linotype" w:hAnsi="Palatino Linotype"/>
          <w:sz w:val="22"/>
          <w:szCs w:val="22"/>
          <w:lang w:val="en-GB"/>
        </w:rPr>
        <w:t xml:space="preserve"> As a result, middle class social reformers ventured into the city to provide free education, run Sabbath schools, embark on home visits and create trade-union linked church services, in the hopes that these services would elevate the culture of ‘underdeveloped’ Americans.</w:t>
      </w:r>
      <w:r w:rsidRPr="00440B9F">
        <w:rPr>
          <w:rStyle w:val="FootnoteReference"/>
          <w:rFonts w:ascii="Palatino Linotype" w:hAnsi="Palatino Linotype"/>
          <w:sz w:val="22"/>
          <w:szCs w:val="22"/>
          <w:lang w:val="en-GB"/>
        </w:rPr>
        <w:footnoteReference w:id="23"/>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Members of the middle class also sought to improve the condition of the economic elite. Reformers argued that the vices of excess included the love of money, prostitution and the profanity of the Sabbath.</w:t>
      </w:r>
      <w:r w:rsidRPr="00440B9F">
        <w:rPr>
          <w:rStyle w:val="FootnoteReference"/>
          <w:rFonts w:ascii="Palatino Linotype" w:hAnsi="Palatino Linotype"/>
          <w:sz w:val="22"/>
          <w:szCs w:val="22"/>
          <w:lang w:val="en-GB"/>
        </w:rPr>
        <w:footnoteReference w:id="24"/>
      </w:r>
      <w:r w:rsidRPr="00440B9F">
        <w:rPr>
          <w:rFonts w:ascii="Palatino Linotype" w:hAnsi="Palatino Linotype"/>
          <w:sz w:val="22"/>
          <w:szCs w:val="22"/>
          <w:lang w:val="en-GB"/>
        </w:rPr>
        <w:t xml:space="preserve"> The danger caused by economic prosperity and the pursuit of wealth was a problem faced by the ABCFM missionaries in Syria and will be returned to in subsequent chapters. Thus, individuals on the frontiers, the urban poor and the economic elite were all designated as problematic ‘others’ within the United States, whose culture differed from the emerging norm of middle class Americans.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Race was another influence on the social stratification of Antebellum American society and the construction of a normative American identity.</w:t>
      </w:r>
      <w:r w:rsidRPr="00440B9F">
        <w:rPr>
          <w:rStyle w:val="FootnoteReference"/>
          <w:rFonts w:ascii="Palatino Linotype" w:hAnsi="Palatino Linotype"/>
          <w:sz w:val="22"/>
          <w:szCs w:val="22"/>
          <w:lang w:val="en-GB"/>
        </w:rPr>
        <w:footnoteReference w:id="25"/>
      </w:r>
      <w:r w:rsidRPr="00440B9F">
        <w:rPr>
          <w:rFonts w:ascii="Palatino Linotype" w:hAnsi="Palatino Linotype"/>
          <w:sz w:val="22"/>
          <w:szCs w:val="22"/>
          <w:lang w:val="en-GB"/>
        </w:rPr>
        <w:t xml:space="preserve"> The race of a United States citizen was ambiguously defined during the nineteenth century.</w:t>
      </w:r>
      <w:r w:rsidRPr="00440B9F">
        <w:rPr>
          <w:rFonts w:ascii="Palatino Linotype" w:hAnsi="Palatino Linotype"/>
          <w:sz w:val="22"/>
          <w:szCs w:val="22"/>
          <w:vertAlign w:val="superscript"/>
          <w:lang w:val="en-GB"/>
        </w:rPr>
        <w:footnoteReference w:id="26"/>
      </w:r>
      <w:r w:rsidRPr="00440B9F">
        <w:rPr>
          <w:rFonts w:ascii="Palatino Linotype" w:hAnsi="Palatino Linotype"/>
          <w:sz w:val="22"/>
          <w:szCs w:val="22"/>
          <w:lang w:val="en-GB"/>
        </w:rPr>
        <w:t xml:space="preserve"> In many geographic texts, the term ‘American’ referred to ‘white Americans’, who were the descendents of Europeans, primarily English, French, Spanish, Scotch or Dutch.</w:t>
      </w:r>
      <w:r w:rsidRPr="00440B9F">
        <w:rPr>
          <w:rStyle w:val="FootnoteReference"/>
          <w:rFonts w:ascii="Palatino Linotype" w:hAnsi="Palatino Linotype"/>
          <w:sz w:val="22"/>
          <w:szCs w:val="22"/>
          <w:lang w:val="en-GB"/>
        </w:rPr>
        <w:footnoteReference w:id="27"/>
      </w:r>
      <w:r w:rsidRPr="00440B9F">
        <w:rPr>
          <w:rFonts w:ascii="Palatino Linotype" w:hAnsi="Palatino Linotype"/>
          <w:sz w:val="22"/>
          <w:szCs w:val="22"/>
          <w:lang w:val="en-GB"/>
        </w:rPr>
        <w:t xml:space="preserve"> This association functioned as the common, but often silenced, default definition for ‘Americans’ within popular texts.</w:t>
      </w:r>
      <w:r w:rsidRPr="00440B9F">
        <w:rPr>
          <w:rStyle w:val="FootnoteReference"/>
          <w:rFonts w:ascii="Palatino Linotype" w:hAnsi="Palatino Linotype"/>
          <w:sz w:val="22"/>
          <w:szCs w:val="22"/>
          <w:lang w:val="en-GB"/>
        </w:rPr>
        <w:footnoteReference w:id="28"/>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In some works however, the term ‘American’ pertained to what is presently referred to as ‘Native Americans’ or ‘Amerindians’.</w:t>
      </w:r>
      <w:r w:rsidRPr="00440B9F">
        <w:rPr>
          <w:rStyle w:val="FootnoteReference"/>
          <w:rFonts w:ascii="Palatino Linotype" w:hAnsi="Palatino Linotype"/>
          <w:sz w:val="22"/>
          <w:szCs w:val="22"/>
          <w:lang w:val="en-GB"/>
        </w:rPr>
        <w:footnoteReference w:id="29"/>
      </w:r>
      <w:r w:rsidRPr="00440B9F">
        <w:rPr>
          <w:rFonts w:ascii="Palatino Linotype" w:hAnsi="Palatino Linotype"/>
          <w:sz w:val="22"/>
          <w:szCs w:val="22"/>
          <w:lang w:val="en-GB"/>
        </w:rPr>
        <w:t xml:space="preserve"> This ‘American Race’ was described as being ‘of a red, or copper color, with sunken eyes, broad face, high cheek bones, a scanty beard, and long black hair.’</w:t>
      </w:r>
      <w:r w:rsidRPr="00440B9F">
        <w:rPr>
          <w:rStyle w:val="FootnoteReference"/>
          <w:rFonts w:ascii="Palatino Linotype" w:hAnsi="Palatino Linotype"/>
          <w:sz w:val="22"/>
          <w:szCs w:val="22"/>
          <w:lang w:val="en-GB"/>
        </w:rPr>
        <w:footnoteReference w:id="30"/>
      </w:r>
      <w:r w:rsidRPr="00440B9F">
        <w:rPr>
          <w:rFonts w:ascii="Palatino Linotype" w:hAnsi="Palatino Linotype"/>
          <w:sz w:val="22"/>
          <w:szCs w:val="22"/>
          <w:lang w:val="en-GB"/>
        </w:rPr>
        <w:t xml:space="preserve"> These native ‘Americans’ were positioned as ‘barbarians’ or ‘savages’ along the scale of humanity, which was a popular classification system for different cultures and societies during the eighteenth and nineteenth centuries.</w:t>
      </w:r>
      <w:r w:rsidRPr="00440B9F">
        <w:rPr>
          <w:rStyle w:val="FootnoteReference"/>
          <w:rFonts w:ascii="Palatino Linotype" w:hAnsi="Palatino Linotype"/>
          <w:sz w:val="22"/>
          <w:szCs w:val="22"/>
          <w:lang w:val="en-GB"/>
        </w:rPr>
        <w:footnoteReference w:id="31"/>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8" type="#_x0000_t75" style="position:absolute;left:0;text-align:left;margin-left:49.45pt;margin-top:-1.9pt;width:322.65pt;height:86.95pt;z-index:1" o:allowoverlap="f">
            <v:imagedata r:id="rId9" o:title="scale of civilation copy"/>
            <w10:wrap type="topAndBottom"/>
          </v:shape>
        </w:pict>
      </w:r>
      <w:r w:rsidRPr="00440B9F">
        <w:rPr>
          <w:rFonts w:ascii="Palatino Linotype" w:hAnsi="Palatino Linotype"/>
          <w:sz w:val="22"/>
          <w:szCs w:val="22"/>
          <w:lang w:val="en-GB"/>
        </w:rPr>
        <w:tab/>
        <w:t>In 1830, the United States Supreme Court ruled that American citizenship was limited to those of European descent and designated Amerindians as non-citizens who should be removed from the western territories.</w:t>
      </w:r>
      <w:r w:rsidRPr="00440B9F">
        <w:rPr>
          <w:rStyle w:val="FootnoteReference"/>
          <w:rFonts w:ascii="Palatino Linotype" w:hAnsi="Palatino Linotype"/>
          <w:sz w:val="22"/>
          <w:szCs w:val="22"/>
          <w:lang w:val="en-GB"/>
        </w:rPr>
        <w:footnoteReference w:id="32"/>
      </w:r>
      <w:r w:rsidRPr="00440B9F">
        <w:rPr>
          <w:rFonts w:ascii="Palatino Linotype" w:hAnsi="Palatino Linotype"/>
          <w:sz w:val="22"/>
          <w:szCs w:val="22"/>
          <w:lang w:val="en-GB"/>
        </w:rPr>
        <w:t xml:space="preserve"> Some white Americans, including missionaries from the ABCFM, disagreed with this stance and sought to ‘civilise’ Amerindians.</w:t>
      </w:r>
      <w:r w:rsidRPr="00440B9F">
        <w:rPr>
          <w:rStyle w:val="FootnoteReference"/>
          <w:rFonts w:ascii="Palatino Linotype" w:hAnsi="Palatino Linotype"/>
          <w:sz w:val="22"/>
          <w:szCs w:val="22"/>
          <w:lang w:val="en-GB"/>
        </w:rPr>
        <w:footnoteReference w:id="33"/>
      </w:r>
      <w:r w:rsidRPr="00440B9F">
        <w:rPr>
          <w:rFonts w:ascii="Palatino Linotype" w:hAnsi="Palatino Linotype"/>
          <w:sz w:val="22"/>
          <w:szCs w:val="22"/>
          <w:lang w:val="en-GB"/>
        </w:rPr>
        <w:t xml:space="preserve"> Formal education was regarded as an important method for this reformation and assimilation process, so that a number of schools were established for this purpose, including the ABCFM’s ‘Foreign Mission School’ in Cornwall, Connecticut and those run by independent missionaries, such as Sarah Smith, who later served as an ABCFM missionary in Syria.</w:t>
      </w:r>
      <w:r w:rsidRPr="00440B9F">
        <w:rPr>
          <w:rStyle w:val="FootnoteReference"/>
          <w:rFonts w:ascii="Palatino Linotype" w:hAnsi="Palatino Linotype"/>
          <w:sz w:val="22"/>
          <w:szCs w:val="22"/>
          <w:lang w:val="en-GB"/>
        </w:rPr>
        <w:footnoteReference w:id="34"/>
      </w:r>
      <w:r w:rsidRPr="00440B9F">
        <w:rPr>
          <w:rFonts w:ascii="Palatino Linotype" w:hAnsi="Palatino Linotype"/>
          <w:sz w:val="22"/>
          <w:szCs w:val="22"/>
          <w:lang w:val="en-GB"/>
        </w:rPr>
        <w:t xml:space="preserve"> Motivating this reform was the belief that individuals could modify their racial/civility categorisation through changing their behaviour, location and/or educational qualifications.</w:t>
      </w:r>
      <w:r w:rsidRPr="00440B9F">
        <w:rPr>
          <w:rStyle w:val="FootnoteReference"/>
          <w:rFonts w:ascii="Palatino Linotype" w:hAnsi="Palatino Linotype"/>
          <w:sz w:val="22"/>
          <w:szCs w:val="22"/>
          <w:lang w:val="en-GB"/>
        </w:rPr>
        <w:footnoteReference w:id="35"/>
      </w:r>
      <w:r w:rsidRPr="00440B9F">
        <w:rPr>
          <w:rFonts w:ascii="Palatino Linotype" w:hAnsi="Palatino Linotype"/>
          <w:sz w:val="22"/>
          <w:szCs w:val="22"/>
          <w:lang w:val="en-GB"/>
        </w:rPr>
        <w:t xml:space="preserve"> However, those who actually contested their original categorisation were often chastised, so that interracial marriages between Amerindian students and white Americans were condemned by their white neighbours.</w:t>
      </w:r>
      <w:r w:rsidRPr="00440B9F">
        <w:rPr>
          <w:rStyle w:val="FootnoteReference"/>
          <w:rFonts w:ascii="Palatino Linotype" w:hAnsi="Palatino Linotype"/>
          <w:sz w:val="22"/>
          <w:szCs w:val="22"/>
          <w:lang w:val="en-GB"/>
        </w:rPr>
        <w:footnoteReference w:id="36"/>
      </w:r>
      <w:r w:rsidRPr="00440B9F">
        <w:rPr>
          <w:rFonts w:ascii="Palatino Linotype" w:hAnsi="Palatino Linotype"/>
          <w:sz w:val="22"/>
          <w:szCs w:val="22"/>
          <w:lang w:val="en-GB"/>
        </w:rPr>
        <w:t xml:space="preserve"> This reveals a conundrum faced by ‘non-white’ individuals who pursued the social reforms organised by white, middle class Americans, but were nevertheless denied social equality because of their race. Subsequent chapters show how this problem plagued the Protestant Circle in Ottoman Syria and influenced its eventually disintegration.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White Americans were also confronted with a sizeable African American population, which, according to the 1860 census, included roughly 4,450,000 individuals or just over fourteen percent of the population.</w:t>
      </w:r>
      <w:r w:rsidRPr="00440B9F">
        <w:rPr>
          <w:rStyle w:val="FootnoteReference"/>
          <w:rFonts w:ascii="Palatino Linotype" w:hAnsi="Palatino Linotype"/>
          <w:sz w:val="22"/>
          <w:szCs w:val="22"/>
          <w:lang w:val="en-GB"/>
        </w:rPr>
        <w:footnoteReference w:id="37"/>
      </w:r>
      <w:r w:rsidRPr="00440B9F">
        <w:rPr>
          <w:rFonts w:ascii="Palatino Linotype" w:hAnsi="Palatino Linotype"/>
          <w:sz w:val="22"/>
          <w:szCs w:val="22"/>
          <w:lang w:val="en-GB"/>
        </w:rPr>
        <w:t xml:space="preserve"> Slavery was an important issue during the Antebellum years and divided many national organisations. The ABCFM neither publically advocated nor condemned slavery in the United States, but condoned the possession of slaves by converts at the Sandwich Islands (present day Hawaii), which instigated criticism from its abolitionist associates.</w:t>
      </w:r>
      <w:r w:rsidRPr="00440B9F">
        <w:rPr>
          <w:rFonts w:ascii="Palatino Linotype" w:hAnsi="Palatino Linotype"/>
          <w:sz w:val="22"/>
          <w:szCs w:val="22"/>
          <w:vertAlign w:val="superscript"/>
          <w:lang w:val="en-GB"/>
        </w:rPr>
        <w:footnoteReference w:id="38"/>
      </w:r>
      <w:r w:rsidRPr="00440B9F">
        <w:rPr>
          <w:rFonts w:ascii="Palatino Linotype" w:hAnsi="Palatino Linotype"/>
          <w:sz w:val="22"/>
          <w:szCs w:val="22"/>
          <w:lang w:val="en-GB"/>
        </w:rPr>
        <w:t xml:space="preserve"> Many white Abolitionists were themselves divided on how to engage with former slaves. Some, like the members of the American Colonization Society (f. 1816), proposed that freed slaves and free-born African Americans should be relocated to Africa.</w:t>
      </w:r>
      <w:r w:rsidRPr="00440B9F">
        <w:rPr>
          <w:rStyle w:val="FootnoteReference"/>
          <w:rFonts w:ascii="Palatino Linotype" w:hAnsi="Palatino Linotype"/>
          <w:sz w:val="22"/>
          <w:szCs w:val="22"/>
          <w:lang w:val="en-GB"/>
        </w:rPr>
        <w:footnoteReference w:id="39"/>
      </w:r>
      <w:r w:rsidRPr="00440B9F">
        <w:rPr>
          <w:rFonts w:ascii="Palatino Linotype" w:hAnsi="Palatino Linotype"/>
          <w:sz w:val="22"/>
          <w:szCs w:val="22"/>
          <w:lang w:val="en-GB"/>
        </w:rPr>
        <w:t xml:space="preserve"> Underlying this recommendation was the belief that American citizens were to lack African ancestry. This stance was codified in the United States Supreme Court ruling, Scott vs. Sandford, also known as the ‘Dred Scott Decision’, which denied individuals of African descent from claiming American citizenship.</w:t>
      </w:r>
      <w:r w:rsidRPr="00440B9F">
        <w:rPr>
          <w:rStyle w:val="FootnoteReference"/>
          <w:rFonts w:ascii="Palatino Linotype" w:hAnsi="Palatino Linotype"/>
          <w:sz w:val="22"/>
          <w:szCs w:val="22"/>
          <w:lang w:val="en-GB"/>
        </w:rPr>
        <w:footnoteReference w:id="40"/>
      </w:r>
      <w:r w:rsidRPr="00440B9F">
        <w:rPr>
          <w:rFonts w:ascii="Palatino Linotype" w:hAnsi="Palatino Linotype"/>
          <w:sz w:val="22"/>
          <w:szCs w:val="22"/>
          <w:lang w:val="en-GB"/>
        </w:rPr>
        <w:t xml:space="preserve"> Nonetheless, this legal boundary was problematised by the actions of fair-skinned ‘blacks’ who temporarily ‘passed’ as being white during social interactions.</w:t>
      </w:r>
      <w:r w:rsidRPr="00440B9F">
        <w:rPr>
          <w:rStyle w:val="FootnoteReference"/>
          <w:rFonts w:ascii="Palatino Linotype" w:hAnsi="Palatino Linotype"/>
          <w:sz w:val="22"/>
          <w:szCs w:val="22"/>
          <w:lang w:val="en-GB"/>
        </w:rPr>
        <w:footnoteReference w:id="41"/>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Thus, the race of Antebellum American citizens was to have neither Amerindian nor African ancestry, but solely of ‘white’, European stock. This however, was a complex and problematic assertion. During the 1840s and 1850s, the number of Roman Catholic immigrants from Ireland increased substantially, so that roughly 1,600,000 Irish immigrants resided in the United States by 1860.</w:t>
      </w:r>
      <w:r w:rsidRPr="00440B9F">
        <w:rPr>
          <w:rStyle w:val="FootnoteReference"/>
          <w:rFonts w:ascii="Palatino Linotype" w:hAnsi="Palatino Linotype"/>
          <w:sz w:val="22"/>
          <w:szCs w:val="22"/>
          <w:lang w:val="en-GB"/>
        </w:rPr>
        <w:footnoteReference w:id="42"/>
      </w:r>
      <w:r w:rsidRPr="00440B9F">
        <w:rPr>
          <w:rFonts w:ascii="Palatino Linotype" w:hAnsi="Palatino Linotype"/>
          <w:sz w:val="22"/>
          <w:szCs w:val="22"/>
          <w:lang w:val="en-GB"/>
        </w:rPr>
        <w:t xml:space="preserve"> Irish immigrants faced both religious and race-based discrimination. The prominent preacher, Lyman Beecher argued that Irish immigrants were of ‘lower nature’ and ‘since the irruption of the northern barbarians, the world has never witnessed such a rush of </w:t>
      </w:r>
      <w:r w:rsidRPr="00440B9F">
        <w:rPr>
          <w:rFonts w:ascii="Palatino Linotype" w:hAnsi="Palatino Linotype"/>
          <w:i/>
          <w:sz w:val="22"/>
          <w:szCs w:val="22"/>
          <w:lang w:val="en-GB"/>
        </w:rPr>
        <w:t>dark-minded</w:t>
      </w:r>
      <w:r w:rsidRPr="00440B9F">
        <w:rPr>
          <w:rFonts w:ascii="Palatino Linotype" w:hAnsi="Palatino Linotype"/>
          <w:sz w:val="22"/>
          <w:szCs w:val="22"/>
          <w:lang w:val="en-GB"/>
        </w:rPr>
        <w:t xml:space="preserve"> population from one country to another, as is now leaving Europe and dashing upon our shores.’</w:t>
      </w:r>
      <w:r w:rsidRPr="00440B9F">
        <w:rPr>
          <w:rStyle w:val="FootnoteReference"/>
          <w:rFonts w:ascii="Palatino Linotype" w:hAnsi="Palatino Linotype"/>
          <w:sz w:val="22"/>
          <w:szCs w:val="22"/>
          <w:lang w:val="en-GB"/>
        </w:rPr>
        <w:footnoteReference w:id="43"/>
      </w:r>
      <w:r w:rsidRPr="00440B9F">
        <w:rPr>
          <w:rFonts w:ascii="Palatino Linotype" w:hAnsi="Palatino Linotype"/>
          <w:sz w:val="22"/>
          <w:szCs w:val="22"/>
          <w:lang w:val="en-GB"/>
        </w:rPr>
        <w:t xml:space="preserve"> Nativist associations, like the ‘Native American Party’ (note the irony of the name) sought to tighten American naturalisation laws against the inroads of these ‘foreign criminals and paupers’ and argued that ‘the sons of the soil should rule the soil.’</w:t>
      </w:r>
      <w:r w:rsidRPr="00440B9F">
        <w:rPr>
          <w:rStyle w:val="FootnoteReference"/>
          <w:rFonts w:ascii="Palatino Linotype" w:hAnsi="Palatino Linotype"/>
          <w:sz w:val="22"/>
          <w:szCs w:val="22"/>
          <w:lang w:val="en-GB"/>
        </w:rPr>
        <w:footnoteReference w:id="44"/>
      </w:r>
      <w:r w:rsidRPr="00440B9F">
        <w:rPr>
          <w:rFonts w:ascii="Palatino Linotype" w:hAnsi="Palatino Linotype"/>
          <w:sz w:val="22"/>
          <w:szCs w:val="22"/>
          <w:lang w:val="en-GB"/>
        </w:rPr>
        <w:t xml:space="preserve"> Irish Catholics were often racialised as an ‘other’ who differed from normative white Americans within official documents.</w:t>
      </w:r>
      <w:r w:rsidRPr="00440B9F">
        <w:rPr>
          <w:rStyle w:val="FootnoteReference"/>
          <w:rFonts w:ascii="Palatino Linotype" w:hAnsi="Palatino Linotype"/>
          <w:sz w:val="22"/>
          <w:szCs w:val="22"/>
          <w:lang w:val="en-GB"/>
        </w:rPr>
        <w:footnoteReference w:id="45"/>
      </w:r>
      <w:r w:rsidRPr="00440B9F">
        <w:rPr>
          <w:rFonts w:ascii="Palatino Linotype" w:hAnsi="Palatino Linotype"/>
          <w:sz w:val="22"/>
          <w:szCs w:val="22"/>
          <w:lang w:val="en-GB"/>
        </w:rPr>
        <w:t xml:space="preserve"> The 1850 census of Kennet Township, Pennsylvania recorded that, of the domestic servants living in farm households, ‘38 percent were black or born in Ireland, and the remaining 62 percent were native-born white women.’</w:t>
      </w:r>
      <w:r w:rsidRPr="00440B9F">
        <w:rPr>
          <w:rStyle w:val="FootnoteReference"/>
          <w:rFonts w:ascii="Palatino Linotype" w:hAnsi="Palatino Linotype"/>
          <w:sz w:val="22"/>
          <w:szCs w:val="22"/>
          <w:lang w:val="en-GB"/>
        </w:rPr>
        <w:footnoteReference w:id="46"/>
      </w:r>
      <w:r w:rsidRPr="00440B9F">
        <w:rPr>
          <w:rFonts w:ascii="Palatino Linotype" w:hAnsi="Palatino Linotype"/>
          <w:sz w:val="22"/>
          <w:szCs w:val="22"/>
          <w:lang w:val="en-GB"/>
        </w:rPr>
        <w:t xml:space="preserve"> In a similar manner, the ABCFM missionary Hetty Smith wrote to her sister in Connecticut that her Arab servants ‘are dirty but I doubt whether they are more so than Irish.’</w:t>
      </w:r>
      <w:r w:rsidRPr="00440B9F">
        <w:rPr>
          <w:rStyle w:val="FootnoteReference"/>
          <w:rFonts w:ascii="Palatino Linotype" w:hAnsi="Palatino Linotype"/>
          <w:sz w:val="22"/>
          <w:szCs w:val="22"/>
          <w:lang w:val="en-GB"/>
        </w:rPr>
        <w:footnoteReference w:id="47"/>
      </w:r>
      <w:r w:rsidRPr="00440B9F">
        <w:rPr>
          <w:rFonts w:ascii="Palatino Linotype" w:hAnsi="Palatino Linotype"/>
          <w:sz w:val="22"/>
          <w:szCs w:val="22"/>
          <w:lang w:val="en-GB"/>
        </w:rPr>
        <w:t xml:space="preserve"> Irish, and to a lesser extent German Roman Catholic immigrants, were thus perceived to be non-whites who were comparable to African Americans and Arabs, but contrasted to white ‘Native Americans’. This was an important aspect of differentiation, for even if a person physically looked or dressed like a white American, this was regarded as a façade, which hid the true nature of the ‘othered’ person. </w:t>
      </w:r>
    </w:p>
    <w:p w:rsidR="008A3BC5" w:rsidRDefault="008A3BC5" w:rsidP="001761FF">
      <w:pPr>
        <w:pStyle w:val="BodyText"/>
        <w:spacing w:line="360" w:lineRule="auto"/>
        <w:jc w:val="both"/>
        <w:rPr>
          <w:rFonts w:ascii="Palatino Linotype" w:hAnsi="Palatino Linotype"/>
          <w:lang w:val="en-GB"/>
        </w:rPr>
      </w:pPr>
      <w:r w:rsidRPr="00440B9F">
        <w:rPr>
          <w:rFonts w:ascii="Palatino Linotype" w:hAnsi="Palatino Linotype"/>
          <w:sz w:val="22"/>
          <w:szCs w:val="22"/>
          <w:lang w:val="en-GB"/>
        </w:rPr>
        <w:tab/>
        <w:t xml:space="preserve">Thus, delineating a clear and unified definition for the American identity during the early to mid-nineteenth century is a difficult endeavour. Racial and economic boundaries were constructed by white, middle class ‘Americans’ to position themselves as different from various others living in the country. Such divisions proved to be porous however, for immigrants crossed the ever-expanding borders, while ‘non-whites’ challenged their racial categorisation through temporarily passing as ‘white’ or assimilating into normative American society. </w:t>
      </w:r>
    </w:p>
    <w:p w:rsidR="008A3BC5" w:rsidRDefault="008A3BC5" w:rsidP="001761FF">
      <w:pPr>
        <w:pStyle w:val="BodyText"/>
        <w:spacing w:line="360" w:lineRule="auto"/>
        <w:jc w:val="both"/>
        <w:rPr>
          <w:rFonts w:ascii="Palatino Linotype" w:hAnsi="Palatino Linotype"/>
          <w:lang w:val="en-GB"/>
        </w:rPr>
      </w:pPr>
    </w:p>
    <w:p w:rsidR="008A3BC5" w:rsidRDefault="008A3BC5" w:rsidP="001761FF">
      <w:pPr>
        <w:pStyle w:val="BodyText"/>
        <w:spacing w:line="360" w:lineRule="auto"/>
        <w:jc w:val="both"/>
        <w:rPr>
          <w:rFonts w:ascii="Palatino Linotype" w:hAnsi="Palatino Linotype"/>
          <w:lang w:val="en-GB"/>
        </w:rPr>
      </w:pPr>
    </w:p>
    <w:p w:rsidR="008A3BC5" w:rsidRPr="00440B9F" w:rsidRDefault="008A3BC5" w:rsidP="001761FF">
      <w:pPr>
        <w:pStyle w:val="BodyText"/>
        <w:spacing w:line="360" w:lineRule="auto"/>
        <w:jc w:val="center"/>
        <w:rPr>
          <w:rFonts w:ascii="Arial" w:hAnsi="Arial" w:cs="Arial"/>
          <w:smallCaps/>
          <w:sz w:val="22"/>
          <w:szCs w:val="22"/>
          <w:lang w:val="en-GB"/>
        </w:rPr>
      </w:pPr>
      <w:r w:rsidRPr="00440B9F">
        <w:rPr>
          <w:rFonts w:ascii="Arial" w:hAnsi="Arial" w:cs="Arial"/>
          <w:smallCaps/>
          <w:sz w:val="22"/>
          <w:szCs w:val="22"/>
          <w:lang w:val="en-GB"/>
        </w:rPr>
        <w:t>Modifications in Antebellum American Protestantism</w:t>
      </w:r>
    </w:p>
    <w:p w:rsidR="008A3BC5" w:rsidRPr="00440B9F" w:rsidRDefault="008A3BC5" w:rsidP="001761FF">
      <w:pPr>
        <w:pStyle w:val="BodyText"/>
        <w:spacing w:line="360" w:lineRule="auto"/>
        <w:rPr>
          <w:rFonts w:ascii="Palatino Linotype" w:hAnsi="Palatino Linotype"/>
          <w:smallCaps/>
          <w:sz w:val="22"/>
          <w:szCs w:val="22"/>
          <w:lang w:val="en-GB"/>
        </w:rPr>
      </w:pP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Protestantism was another important facet of the normative American identity. From the early to mid-nineteenth century, the doxa of American Protestantism centred upon New England-based Presbyterianism and Congregationalism, but was increasingly challenged by the pluralisation of Christian denominations, the emergence of a revival theology, the pursuit of ‘millennialism’ and the institutionalisation of Protestant education. This section examines these transformations and argues that the ABCFM emerged and functioned as a bastion of conservatism, although individual missionaries negotiated these new manifestations of American Protestantism. As a result, features of both the old and new were found in the Protestantism practiced by the missionaries at Syrian Station, which influenced the religious capital of the Protestant Circle.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demographics of Protestant denominations reflected the environment of the young nation at the start of the nineteenth century. Churches with strong ties to the state, like the Anglican Church,</w:t>
      </w:r>
      <w:r w:rsidRPr="00440B9F">
        <w:rPr>
          <w:rStyle w:val="FootnoteReference"/>
          <w:rFonts w:ascii="Palatino Linotype" w:hAnsi="Palatino Linotype"/>
          <w:sz w:val="22"/>
          <w:szCs w:val="22"/>
          <w:lang w:val="en-GB"/>
        </w:rPr>
        <w:footnoteReference w:id="48"/>
      </w:r>
      <w:r w:rsidRPr="00440B9F">
        <w:rPr>
          <w:rFonts w:ascii="Palatino Linotype" w:hAnsi="Palatino Linotype"/>
          <w:sz w:val="22"/>
          <w:szCs w:val="22"/>
          <w:lang w:val="en-GB"/>
        </w:rPr>
        <w:t xml:space="preserve"> decreased in membership after the Revolutionary War, while non-conformist denominations, particularly the Presbyterian and Congregational Churches, flourished. Despite differing on many points, including ecclesiastical structuring, Presbyterians and Congregationalists shared the Westminster Confession of Faith (1649) and were brought into communion through the Pact of Union in 1801.</w:t>
      </w:r>
      <w:r w:rsidRPr="00440B9F">
        <w:rPr>
          <w:rFonts w:ascii="Palatino Linotype" w:hAnsi="Palatino Linotype"/>
          <w:sz w:val="22"/>
          <w:szCs w:val="22"/>
          <w:vertAlign w:val="superscript"/>
          <w:lang w:val="en-GB"/>
        </w:rPr>
        <w:footnoteReference w:id="49"/>
      </w:r>
      <w:r w:rsidRPr="00440B9F">
        <w:rPr>
          <w:rFonts w:ascii="Palatino Linotype" w:hAnsi="Palatino Linotype"/>
          <w:sz w:val="22"/>
          <w:szCs w:val="22"/>
          <w:lang w:val="en-GB"/>
        </w:rPr>
        <w:t xml:space="preserve"> This allowed for Presbyterian and Congregational members to work together and establish many of the nation’s eminent educational institutions, such as Andover Seminary (f. 1808) and the Theological Seminary of the Presbyterian Church (later Princeton Seminary) (f. 1812).</w:t>
      </w:r>
      <w:r w:rsidRPr="00440B9F">
        <w:rPr>
          <w:rFonts w:ascii="Palatino Linotype" w:hAnsi="Palatino Linotype"/>
          <w:sz w:val="22"/>
          <w:szCs w:val="22"/>
          <w:vertAlign w:val="superscript"/>
          <w:lang w:val="en-GB"/>
        </w:rPr>
        <w:footnoteReference w:id="50"/>
      </w:r>
      <w:r w:rsidRPr="00440B9F">
        <w:rPr>
          <w:rFonts w:ascii="Palatino Linotype" w:hAnsi="Palatino Linotype"/>
          <w:sz w:val="22"/>
          <w:szCs w:val="22"/>
          <w:lang w:val="en-GB"/>
        </w:rPr>
        <w:t xml:space="preserve"> Many of the nation’s prominent reform organisations were also jointly funded, Presbyterian-Congregational endeavours, such as the American Bible Association (f. 1816), the American Home Missionary Society (f. 1826) and the ABCFM (f. 1810).</w:t>
      </w:r>
      <w:r w:rsidRPr="00440B9F">
        <w:rPr>
          <w:rStyle w:val="FootnoteReference"/>
          <w:rFonts w:ascii="Palatino Linotype" w:hAnsi="Palatino Linotype"/>
          <w:sz w:val="22"/>
          <w:szCs w:val="22"/>
          <w:lang w:val="en-GB"/>
        </w:rPr>
        <w:footnoteReference w:id="51"/>
      </w:r>
      <w:r w:rsidRPr="00440B9F">
        <w:rPr>
          <w:rFonts w:ascii="Palatino Linotype" w:hAnsi="Palatino Linotype"/>
          <w:sz w:val="22"/>
          <w:szCs w:val="22"/>
          <w:lang w:val="en-GB"/>
        </w:rPr>
        <w:t xml:space="preserve"> Due to these academic and institutional associations, Presbyterian and Congregational leaders formed a new type of aristocracy within the United States during the early nineteenth century: a religious elite.</w:t>
      </w:r>
      <w:r w:rsidRPr="00440B9F">
        <w:rPr>
          <w:rStyle w:val="FootnoteReference"/>
          <w:rFonts w:ascii="Palatino Linotype" w:hAnsi="Palatino Linotype"/>
          <w:sz w:val="22"/>
          <w:szCs w:val="22"/>
          <w:lang w:val="en-GB"/>
        </w:rPr>
        <w:footnoteReference w:id="52"/>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This Presbyterian-Congregational stronghold was challenged however by the rise of the Methodist and Baptist Churches by the mid-nineteenth century. The Methodist Episcopal Church developed as a pious branch within the Anglican Church in England and initially struggled to attract followers in the United States. By 1830 however, Methodism was one of the largest Protestant denominations in the United States, for its theology resonated with the culture materialising in the frontier territories and states.</w:t>
      </w:r>
      <w:r w:rsidRPr="00440B9F">
        <w:rPr>
          <w:rStyle w:val="FootnoteReference"/>
          <w:rFonts w:ascii="Palatino Linotype" w:hAnsi="Palatino Linotype"/>
          <w:sz w:val="22"/>
          <w:szCs w:val="22"/>
          <w:lang w:val="en-GB"/>
        </w:rPr>
        <w:footnoteReference w:id="53"/>
      </w:r>
      <w:r w:rsidRPr="00440B9F">
        <w:rPr>
          <w:rFonts w:ascii="Palatino Linotype" w:hAnsi="Palatino Linotype"/>
          <w:sz w:val="22"/>
          <w:szCs w:val="22"/>
          <w:lang w:val="en-GB"/>
        </w:rPr>
        <w:t xml:space="preserve"> Despites its increasing popularity, Methodist churches remained geographically fragmented, while tensions and divisions arose over race and slavery.</w:t>
      </w:r>
      <w:r w:rsidRPr="00440B9F">
        <w:rPr>
          <w:rStyle w:val="FootnoteReference"/>
          <w:rFonts w:ascii="Palatino Linotype" w:hAnsi="Palatino Linotype"/>
          <w:sz w:val="22"/>
          <w:szCs w:val="22"/>
          <w:lang w:val="en-GB"/>
        </w:rPr>
        <w:footnoteReference w:id="54"/>
      </w:r>
      <w:r w:rsidRPr="00440B9F">
        <w:rPr>
          <w:rFonts w:ascii="Palatino Linotype" w:hAnsi="Palatino Linotype"/>
          <w:sz w:val="22"/>
          <w:szCs w:val="22"/>
          <w:lang w:val="en-GB"/>
        </w:rPr>
        <w:t xml:space="preserve"> The Baptist Church also expanded during the Antebellum period and was particularly popular in the southern states and on the frontier. Americans in these regions felt more comfortable with the Baptist preaching style, as opposed to the erudite preaching associated with Presbyterian and Congregational ministers.</w:t>
      </w:r>
      <w:r w:rsidRPr="00440B9F">
        <w:rPr>
          <w:rStyle w:val="FootnoteReference"/>
          <w:rFonts w:ascii="Palatino Linotype" w:hAnsi="Palatino Linotype"/>
          <w:sz w:val="22"/>
          <w:szCs w:val="22"/>
          <w:lang w:val="en-GB"/>
        </w:rPr>
        <w:footnoteReference w:id="55"/>
      </w:r>
      <w:r w:rsidRPr="00440B9F">
        <w:rPr>
          <w:rFonts w:ascii="Palatino Linotype" w:hAnsi="Palatino Linotype"/>
          <w:sz w:val="22"/>
          <w:szCs w:val="22"/>
          <w:lang w:val="en-GB"/>
        </w:rPr>
        <w:t xml:space="preserve"> Some of the Presbyterian-Congregational ‘elite’ regarded the rise in Methodist and Baptist denominations as a threat to their position, and to American Protestantism, so that the ABCFM withdrew funding from their earliest missionaries, Adoniram Judson and Luther Rice, upon their conversion to the Baptist Church during their missionary travels.</w:t>
      </w:r>
      <w:r w:rsidRPr="00440B9F">
        <w:rPr>
          <w:rStyle w:val="FootnoteReference"/>
          <w:rFonts w:ascii="Palatino Linotype" w:hAnsi="Palatino Linotype"/>
          <w:sz w:val="22"/>
          <w:szCs w:val="22"/>
          <w:lang w:val="en-GB"/>
        </w:rPr>
        <w:footnoteReference w:id="56"/>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Another perceived ‘threat’ to American Christianity arose with the waves of immigrants coming from Europe. Protestant immigrants often sought to transplant their home churches onto American soil, so that by 1859 Mennonite, Dutch Reformed, German Reformed and Lutheran churches were found in the United States, particularly in the mid-west states.</w:t>
      </w:r>
      <w:r w:rsidRPr="00440B9F">
        <w:rPr>
          <w:rStyle w:val="FootnoteReference"/>
          <w:rFonts w:ascii="Palatino Linotype" w:hAnsi="Palatino Linotype"/>
          <w:sz w:val="22"/>
          <w:szCs w:val="22"/>
          <w:lang w:val="en-GB"/>
        </w:rPr>
        <w:footnoteReference w:id="57"/>
      </w:r>
      <w:r w:rsidRPr="00440B9F">
        <w:rPr>
          <w:rFonts w:ascii="Palatino Linotype" w:hAnsi="Palatino Linotype"/>
          <w:sz w:val="22"/>
          <w:szCs w:val="22"/>
          <w:lang w:val="en-GB"/>
        </w:rPr>
        <w:t xml:space="preserve"> More troubling to American-born Protestants were the new Roman Catholic immigrants. In contrast to previous Catholics, who tended to be of French or English descent and who assimilated into American society, these new immigrants came from Germany and Ireland, and advocated a different culture of Catholicism.</w:t>
      </w:r>
      <w:r w:rsidRPr="00440B9F">
        <w:rPr>
          <w:rStyle w:val="FootnoteReference"/>
          <w:rFonts w:ascii="Palatino Linotype" w:hAnsi="Palatino Linotype"/>
          <w:sz w:val="22"/>
          <w:szCs w:val="22"/>
          <w:lang w:val="en-GB"/>
        </w:rPr>
        <w:footnoteReference w:id="58"/>
      </w:r>
      <w:r w:rsidRPr="00440B9F">
        <w:rPr>
          <w:rFonts w:ascii="Palatino Linotype" w:hAnsi="Palatino Linotype"/>
          <w:sz w:val="22"/>
          <w:szCs w:val="22"/>
          <w:lang w:val="en-GB"/>
        </w:rPr>
        <w:t xml:space="preserve"> For example, although the new Irish Catholics expressed loyalty to the United States, the candid displays of their unique identity, which included parades on St. Patrick’s Day, jarred with the surrounding Protestant community, leading many to believe that Roman Catholicism was incongruent with American ideals.</w:t>
      </w:r>
      <w:r w:rsidRPr="00440B9F">
        <w:rPr>
          <w:rStyle w:val="FootnoteReference"/>
          <w:rFonts w:ascii="Palatino Linotype" w:hAnsi="Palatino Linotype"/>
          <w:sz w:val="22"/>
          <w:szCs w:val="22"/>
          <w:lang w:val="en-GB"/>
        </w:rPr>
        <w:footnoteReference w:id="59"/>
      </w:r>
      <w:r w:rsidRPr="00440B9F">
        <w:rPr>
          <w:rFonts w:ascii="Palatino Linotype" w:hAnsi="Palatino Linotype"/>
          <w:sz w:val="22"/>
          <w:szCs w:val="22"/>
          <w:lang w:val="en-GB"/>
        </w:rPr>
        <w:t xml:space="preserve"> This disjuncture was manifested in racialised, sectarian violence, including an attack on an Ursuline convent in Charlestown, Boston in 1836 as well as riots in New York and Philadelphia during the 1840s.</w:t>
      </w:r>
      <w:r w:rsidRPr="00440B9F">
        <w:rPr>
          <w:rFonts w:ascii="Palatino Linotype" w:hAnsi="Palatino Linotype"/>
          <w:sz w:val="22"/>
          <w:szCs w:val="22"/>
          <w:vertAlign w:val="superscript"/>
          <w:lang w:val="en-GB"/>
        </w:rPr>
        <w:footnoteReference w:id="60"/>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Anti-Catholic sentiment was not restricted to the Protestant masses, but was a noticeable trait found amongst Presbyterian and Congregational leaders during the Antebellum period. The well-known Presbyterian preacher Lyman Beecher warned against the influences of ‘Papism’ on the frontier states and argued that Catholic clerical structures ran counter to the American ideals of democracy.</w:t>
      </w:r>
      <w:r w:rsidRPr="00440B9F">
        <w:rPr>
          <w:rStyle w:val="FootnoteReference"/>
          <w:rFonts w:ascii="Palatino Linotype" w:hAnsi="Palatino Linotype"/>
          <w:sz w:val="22"/>
          <w:szCs w:val="22"/>
          <w:lang w:val="en-GB"/>
        </w:rPr>
        <w:footnoteReference w:id="61"/>
      </w:r>
      <w:r w:rsidRPr="00440B9F">
        <w:rPr>
          <w:rFonts w:ascii="Palatino Linotype" w:hAnsi="Palatino Linotype"/>
          <w:sz w:val="22"/>
          <w:szCs w:val="22"/>
          <w:lang w:val="en-GB"/>
        </w:rPr>
        <w:t xml:space="preserve"> In addition, Lazarist, Franciscan and Jesuit missionaries were argued to be the biggest challenge to the ABCFM’s work, including their activities in the Ottoman Empire.</w:t>
      </w:r>
      <w:r w:rsidRPr="00440B9F">
        <w:rPr>
          <w:rStyle w:val="FootnoteReference"/>
          <w:rFonts w:ascii="Palatino Linotype" w:hAnsi="Palatino Linotype"/>
          <w:sz w:val="22"/>
          <w:szCs w:val="22"/>
          <w:lang w:val="en-GB"/>
        </w:rPr>
        <w:footnoteReference w:id="62"/>
      </w:r>
      <w:r w:rsidRPr="00440B9F">
        <w:rPr>
          <w:rFonts w:ascii="Palatino Linotype" w:hAnsi="Palatino Linotype"/>
          <w:sz w:val="22"/>
          <w:szCs w:val="22"/>
          <w:lang w:val="en-GB"/>
        </w:rPr>
        <w:t xml:space="preserve"> For many Antebellum Americans, Roman Catholicism was not only a danger to America’s religious identity, but also the spiritual well-being of the entire world.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theological assertions of those within Presbyterian and Congregational churches were also challenged by the developments of the nineteenth century. The New England-based Calvinism, particularly the ideas of the theologian John Edwards, formed the backbone of Presbyterian and Congregational theology at the start of the nineteenth century.</w:t>
      </w:r>
      <w:r w:rsidRPr="00440B9F">
        <w:rPr>
          <w:rStyle w:val="FootnoteReference"/>
          <w:rFonts w:ascii="Palatino Linotype" w:hAnsi="Palatino Linotype"/>
          <w:sz w:val="22"/>
          <w:szCs w:val="22"/>
          <w:lang w:val="en-GB"/>
        </w:rPr>
        <w:footnoteReference w:id="63"/>
      </w:r>
      <w:r w:rsidRPr="00440B9F">
        <w:rPr>
          <w:rFonts w:ascii="Palatino Linotype" w:hAnsi="Palatino Linotype"/>
          <w:sz w:val="22"/>
          <w:szCs w:val="22"/>
          <w:lang w:val="en-GB"/>
        </w:rPr>
        <w:t xml:space="preserve"> Edward’s theology maintained that God’s revelation and goodness were mutually exclusive from the work of men.</w:t>
      </w:r>
      <w:r w:rsidRPr="00440B9F">
        <w:rPr>
          <w:rStyle w:val="FootnoteReference"/>
          <w:rFonts w:ascii="Palatino Linotype" w:hAnsi="Palatino Linotype"/>
          <w:sz w:val="22"/>
          <w:szCs w:val="22"/>
          <w:lang w:val="en-GB"/>
        </w:rPr>
        <w:footnoteReference w:id="64"/>
      </w:r>
      <w:r w:rsidRPr="00440B9F">
        <w:rPr>
          <w:rFonts w:ascii="Palatino Linotype" w:hAnsi="Palatino Linotype"/>
          <w:sz w:val="22"/>
          <w:szCs w:val="22"/>
          <w:lang w:val="en-GB"/>
        </w:rPr>
        <w:t xml:space="preserve"> Although humans could rationalise and try to understand God’s will and human sin, particularly through educational and scientific endeavours, Edwards and many others believed that the inherent nature of a person determined his/her actions and eternal fate.</w:t>
      </w:r>
      <w:r w:rsidRPr="00440B9F">
        <w:rPr>
          <w:rStyle w:val="FootnoteReference"/>
          <w:rFonts w:ascii="Palatino Linotype" w:hAnsi="Palatino Linotype"/>
          <w:sz w:val="22"/>
          <w:szCs w:val="22"/>
          <w:lang w:val="en-GB"/>
        </w:rPr>
        <w:footnoteReference w:id="65"/>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influence of this Calvinistic theology was loosened as the nineteenth century unfolded. One aspect this change centred upon the increased role for human involvement in the eschatological positioning of the self. New theologies, like the ‘Evangelical Calvinism’ of Lyman Beecher and Charles Finney, and Samuel Hopkin’s ‘New Divinity’, spread the belief that humans could affect God’s selection of the elect.</w:t>
      </w:r>
      <w:r w:rsidRPr="00440B9F">
        <w:rPr>
          <w:rStyle w:val="FootnoteReference"/>
          <w:rFonts w:ascii="Palatino Linotype" w:hAnsi="Palatino Linotype"/>
          <w:sz w:val="22"/>
          <w:szCs w:val="22"/>
          <w:lang w:val="en-GB"/>
        </w:rPr>
        <w:footnoteReference w:id="66"/>
      </w:r>
      <w:r w:rsidRPr="00440B9F">
        <w:rPr>
          <w:rFonts w:ascii="Palatino Linotype" w:hAnsi="Palatino Linotype"/>
          <w:sz w:val="22"/>
          <w:szCs w:val="22"/>
          <w:lang w:val="en-GB"/>
        </w:rPr>
        <w:t xml:space="preserve"> For Evangelical Calvinists, individuals could secure his/her eternal fate through the ‘personal revival’ of the soul. This was an event (or a series of events) when the Holy Spirit instigated the consciousness of one’s sinful state and the desire to forsake sinfulness for union with Christ.</w:t>
      </w:r>
      <w:r w:rsidRPr="00440B9F">
        <w:rPr>
          <w:rStyle w:val="FootnoteReference"/>
          <w:rFonts w:ascii="Palatino Linotype" w:hAnsi="Palatino Linotype"/>
          <w:sz w:val="22"/>
          <w:szCs w:val="22"/>
          <w:lang w:val="en-GB"/>
        </w:rPr>
        <w:footnoteReference w:id="67"/>
      </w:r>
      <w:r w:rsidRPr="00440B9F">
        <w:rPr>
          <w:rFonts w:ascii="Palatino Linotype" w:hAnsi="Palatino Linotype"/>
          <w:sz w:val="22"/>
          <w:szCs w:val="22"/>
          <w:lang w:val="en-GB"/>
        </w:rPr>
        <w:t xml:space="preserve"> It was through denouncing one’s sinful past that a person hoped to be marked as saved. Election would be further verified through the successful performance of ‘disinterested benevolence’ or the ‘Christ-like disposition to self-denial’ through opposing any act of ‘self-love’.</w:t>
      </w:r>
      <w:r w:rsidRPr="00440B9F">
        <w:rPr>
          <w:rStyle w:val="FootnoteReference"/>
          <w:rFonts w:ascii="Palatino Linotype" w:hAnsi="Palatino Linotype"/>
          <w:sz w:val="22"/>
          <w:szCs w:val="22"/>
          <w:lang w:val="en-GB"/>
        </w:rPr>
        <w:footnoteReference w:id="68"/>
      </w:r>
      <w:r w:rsidRPr="00440B9F">
        <w:rPr>
          <w:rFonts w:ascii="Palatino Linotype" w:hAnsi="Palatino Linotype"/>
          <w:sz w:val="22"/>
          <w:szCs w:val="22"/>
          <w:lang w:val="en-GB"/>
        </w:rPr>
        <w:t xml:space="preserve"> This new theology resonated with the culture associated with white, middle classes Americans and became a feature of the religion practiced by the ABCFM missionaries at the Syrian Station.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Another characteristic of nineteenth century American Protestantism was personal interaction with the Holy Scriptures, which I refer to as ‘Biblical literacy’. The American Bible Society sought to provide each family with a Bible for daily study, while the American Home Society and the American Tract Society (f. 1825) ensured that the Bible was properly interpreted.</w:t>
      </w:r>
      <w:r w:rsidRPr="00440B9F">
        <w:rPr>
          <w:rStyle w:val="FootnoteReference"/>
          <w:rFonts w:ascii="Palatino Linotype" w:hAnsi="Palatino Linotype"/>
          <w:sz w:val="22"/>
          <w:szCs w:val="22"/>
          <w:lang w:val="en-GB"/>
        </w:rPr>
        <w:footnoteReference w:id="69"/>
      </w:r>
      <w:r w:rsidRPr="00440B9F">
        <w:rPr>
          <w:rFonts w:ascii="Palatino Linotype" w:hAnsi="Palatino Linotype"/>
          <w:sz w:val="22"/>
          <w:szCs w:val="22"/>
          <w:lang w:val="en-GB"/>
        </w:rPr>
        <w:t xml:space="preserve"> For many, the ‘Bible became not only a revered text but a sacred object’ itself, for it occupied an elevated position amongst family heirlooms and occasionally acquired talisman qualities.</w:t>
      </w:r>
      <w:r w:rsidRPr="00440B9F">
        <w:rPr>
          <w:rStyle w:val="FootnoteReference"/>
          <w:rFonts w:ascii="Palatino Linotype" w:hAnsi="Palatino Linotype"/>
          <w:sz w:val="22"/>
          <w:szCs w:val="22"/>
          <w:lang w:val="en-GB"/>
        </w:rPr>
        <w:footnoteReference w:id="70"/>
      </w:r>
      <w:r w:rsidRPr="00440B9F">
        <w:rPr>
          <w:rFonts w:ascii="Palatino Linotype" w:hAnsi="Palatino Linotype"/>
          <w:sz w:val="22"/>
          <w:szCs w:val="22"/>
          <w:lang w:val="en-GB"/>
        </w:rPr>
        <w:t xml:space="preserve"> Sabbath services centred upon the Scripture readings, while the homily was often an exegesis of these passages. Seminarians were taught Hebrew and Greek, for it was believed that reading the Bible in its original language granted clearer insight onto its revelations.</w:t>
      </w:r>
      <w:r w:rsidRPr="00440B9F">
        <w:rPr>
          <w:rStyle w:val="FootnoteReference"/>
          <w:rFonts w:ascii="Palatino Linotype" w:hAnsi="Palatino Linotype"/>
          <w:sz w:val="22"/>
          <w:szCs w:val="22"/>
          <w:lang w:val="en-GB"/>
        </w:rPr>
        <w:footnoteReference w:id="71"/>
      </w:r>
      <w:r w:rsidRPr="00440B9F">
        <w:rPr>
          <w:rFonts w:ascii="Palatino Linotype" w:hAnsi="Palatino Linotype"/>
          <w:sz w:val="22"/>
          <w:szCs w:val="22"/>
          <w:lang w:val="en-GB"/>
        </w:rPr>
        <w:t xml:space="preserve"> This investigation was complemented by explorations of the ‘Holy Lands’, for many Americans believed that the behaviour and culture of contemporary residents of the Middle East were unchanged from Biblical times.</w:t>
      </w:r>
      <w:r w:rsidRPr="00440B9F">
        <w:rPr>
          <w:rStyle w:val="FootnoteReference"/>
          <w:rFonts w:ascii="Palatino Linotype" w:hAnsi="Palatino Linotype"/>
          <w:sz w:val="22"/>
          <w:szCs w:val="22"/>
          <w:lang w:val="en-GB"/>
        </w:rPr>
        <w:footnoteReference w:id="72"/>
      </w:r>
      <w:r w:rsidRPr="00440B9F">
        <w:rPr>
          <w:rFonts w:ascii="Palatino Linotype" w:hAnsi="Palatino Linotype"/>
          <w:sz w:val="22"/>
          <w:szCs w:val="22"/>
          <w:lang w:val="en-GB"/>
        </w:rPr>
        <w:t xml:space="preserve"> As a result, the works of the ABCFM missionaries and other travellers to the Ottoman Empire became important pieces for the ‘Biblical Literacy’ of literate, lay Americans.</w:t>
      </w:r>
      <w:r w:rsidRPr="00440B9F">
        <w:rPr>
          <w:rFonts w:ascii="Palatino Linotype" w:hAnsi="Palatino Linotype"/>
          <w:sz w:val="22"/>
          <w:szCs w:val="22"/>
          <w:vertAlign w:val="superscript"/>
          <w:lang w:val="en-GB"/>
        </w:rPr>
        <w:footnoteReference w:id="73"/>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Some of these Bible-reading Americans were influenced by ‘end times’ accounts, particularly those found in the Revelation of John. The majority of American Protestants, including the members of the ABCFM, upheld a post-millennial theology and argued that, at some unknown point, the world will enter into a millennium of God’s rule on earth.</w:t>
      </w:r>
      <w:r w:rsidRPr="00440B9F">
        <w:rPr>
          <w:rFonts w:ascii="Palatino Linotype" w:hAnsi="Palatino Linotype"/>
          <w:sz w:val="22"/>
          <w:szCs w:val="22"/>
          <w:vertAlign w:val="superscript"/>
          <w:lang w:val="en-GB"/>
        </w:rPr>
        <w:footnoteReference w:id="74"/>
      </w:r>
      <w:r w:rsidRPr="00440B9F">
        <w:rPr>
          <w:rFonts w:ascii="Palatino Linotype" w:hAnsi="Palatino Linotype"/>
          <w:sz w:val="22"/>
          <w:szCs w:val="22"/>
          <w:lang w:val="en-GB"/>
        </w:rPr>
        <w:t xml:space="preserve"> It was believed that after this millennium, the Second Coming of Christ would occur along with its associated prophecies and the judgement of the saved and the damned. The uniqueness of nineteenth century Americans’ post-millennial theology was with the agency granted to humans to encourage the millennium.</w:t>
      </w:r>
      <w:r w:rsidRPr="00440B9F">
        <w:rPr>
          <w:rStyle w:val="FootnoteReference"/>
          <w:rFonts w:ascii="Palatino Linotype" w:hAnsi="Palatino Linotype"/>
          <w:sz w:val="22"/>
          <w:szCs w:val="22"/>
          <w:lang w:val="en-GB"/>
        </w:rPr>
        <w:footnoteReference w:id="75"/>
      </w:r>
      <w:r w:rsidRPr="00440B9F">
        <w:rPr>
          <w:rFonts w:ascii="Palatino Linotype" w:hAnsi="Palatino Linotype"/>
          <w:sz w:val="22"/>
          <w:szCs w:val="22"/>
          <w:lang w:val="en-GB"/>
        </w:rPr>
        <w:t xml:space="preserve"> The large number of personal and group revivals was thought to be a sign of the approaching commencement of the millennium. Human instigation of revivals affirmed the view that people could assist in God’s eschatological plans. In addition, it was believed that a person’s immediate choice to accept or reject the revival message determined his or her ‘sometime in the future’ standing within Christ’s judgement.</w:t>
      </w:r>
      <w:r w:rsidRPr="00440B9F">
        <w:rPr>
          <w:rStyle w:val="FootnoteReference"/>
          <w:rFonts w:ascii="Palatino Linotype" w:hAnsi="Palatino Linotype"/>
          <w:sz w:val="22"/>
          <w:szCs w:val="22"/>
          <w:lang w:val="en-GB"/>
        </w:rPr>
        <w:footnoteReference w:id="76"/>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Drawing from these theological points, many felt ‘called’ to immediate action in reforming the ills of this world and commit it to God’s plan.</w:t>
      </w:r>
      <w:r w:rsidRPr="00440B9F">
        <w:rPr>
          <w:rStyle w:val="FootnoteReference"/>
          <w:rFonts w:ascii="Palatino Linotype" w:hAnsi="Palatino Linotype"/>
          <w:sz w:val="22"/>
          <w:szCs w:val="22"/>
          <w:lang w:val="en-GB"/>
        </w:rPr>
        <w:footnoteReference w:id="77"/>
      </w:r>
      <w:r w:rsidRPr="00440B9F">
        <w:rPr>
          <w:rFonts w:ascii="Palatino Linotype" w:hAnsi="Palatino Linotype"/>
          <w:sz w:val="22"/>
          <w:szCs w:val="22"/>
          <w:lang w:val="en-GB"/>
        </w:rPr>
        <w:t xml:space="preserve"> The ABCFM asserted that ‘the kingdoms of this world’ shall eventually become ‘the kingdoms of our Lord and of his Christ’ through the help of human missionary activities. Similar to other benevolent organisations, the ABCFM argued that it was ‘God’s providence’ for humans to advance technology, such as the steam engine and printing press, which would alleviate the tasks and broaden the impact of missionary labours and reform movements.</w:t>
      </w:r>
      <w:r w:rsidRPr="00440B9F">
        <w:rPr>
          <w:rStyle w:val="FootnoteReference"/>
          <w:rFonts w:ascii="Palatino Linotype" w:hAnsi="Palatino Linotype"/>
          <w:sz w:val="22"/>
          <w:szCs w:val="22"/>
          <w:lang w:val="en-GB"/>
        </w:rPr>
        <w:footnoteReference w:id="78"/>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 different perspective on Christ’s Second Coming was asserted by the advocates of pre-millennial theology. These Christians believed that the Second Coming would predate God’s millennial rule and warned that the Apocalypse was imminent. They argued that this was forewarned by recognisably cataclysmic events, such as the French Revolution and the increased presence of Europeans in the Ottoman Empire.</w:t>
      </w:r>
      <w:r w:rsidRPr="00440B9F">
        <w:rPr>
          <w:rStyle w:val="FootnoteReference"/>
          <w:rFonts w:ascii="Palatino Linotype" w:hAnsi="Palatino Linotype"/>
          <w:sz w:val="22"/>
          <w:szCs w:val="22"/>
          <w:lang w:val="en-GB"/>
        </w:rPr>
        <w:footnoteReference w:id="79"/>
      </w:r>
      <w:r w:rsidRPr="00440B9F">
        <w:rPr>
          <w:rFonts w:ascii="Palatino Linotype" w:hAnsi="Palatino Linotype"/>
          <w:sz w:val="22"/>
          <w:szCs w:val="22"/>
          <w:lang w:val="en-GB"/>
        </w:rPr>
        <w:t xml:space="preserve"> Unlike the more-common post-millennialism, pre-millennialism was advocated by heterodox Christians,</w:t>
      </w:r>
      <w:r w:rsidRPr="00440B9F">
        <w:rPr>
          <w:rStyle w:val="FootnoteReference"/>
          <w:rFonts w:ascii="Palatino Linotype" w:hAnsi="Palatino Linotype"/>
          <w:sz w:val="22"/>
          <w:szCs w:val="22"/>
          <w:lang w:val="en-GB"/>
        </w:rPr>
        <w:t xml:space="preserve"> </w:t>
      </w:r>
      <w:r w:rsidRPr="00440B9F">
        <w:rPr>
          <w:rFonts w:ascii="Palatino Linotype" w:hAnsi="Palatino Linotype"/>
          <w:sz w:val="22"/>
          <w:szCs w:val="22"/>
          <w:lang w:val="en-GB"/>
        </w:rPr>
        <w:t>such as John Humphrey Noyes’s Oneida Community (f. 1847), the Church of Jesus Christ of Latter-Day Saints [the Mormon Church] (f. 1830) and the followers of William Miller, who calculated the Second Coming initially for 23 April 1843, which was recalculated for 22 October 1844.</w:t>
      </w:r>
      <w:r w:rsidRPr="00440B9F">
        <w:rPr>
          <w:rStyle w:val="FootnoteReference"/>
          <w:rFonts w:ascii="Palatino Linotype" w:hAnsi="Palatino Linotype"/>
          <w:sz w:val="22"/>
          <w:szCs w:val="22"/>
          <w:lang w:val="en-GB"/>
        </w:rPr>
        <w:footnoteReference w:id="80"/>
      </w:r>
      <w:r w:rsidRPr="00440B9F">
        <w:rPr>
          <w:rFonts w:ascii="Palatino Linotype" w:hAnsi="Palatino Linotype"/>
          <w:sz w:val="22"/>
          <w:szCs w:val="22"/>
          <w:lang w:val="en-GB"/>
        </w:rPr>
        <w:t xml:space="preserve"> Some advocates of this theology established colonies in Palestine, but, because of their unorthodox views, were regarded by the ABCFM as different, distinct and possibly threatening to their work, and as a result, were not encompassed by the Protestant Circle.</w:t>
      </w:r>
      <w:r w:rsidRPr="00440B9F">
        <w:rPr>
          <w:rStyle w:val="FootnoteReference"/>
          <w:rFonts w:ascii="Palatino Linotype" w:hAnsi="Palatino Linotype"/>
          <w:sz w:val="22"/>
          <w:szCs w:val="22"/>
          <w:lang w:val="en-GB"/>
        </w:rPr>
        <w:footnoteReference w:id="81"/>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It was in the United Kingdom that pre-millennial theology was more vigorously advocated and associated with mainstream missionary organisations. In 1830, the English John Darby founded the Plymouth Brethren, who promoted the ideology of the Rapture, or the mystical ‘taking up’ of those who were saved to announce the Second Coming. Darby argued that after the Rapture, God’s millennial rule would commence with a Jewish kingdom.</w:t>
      </w:r>
      <w:r w:rsidRPr="00440B9F">
        <w:rPr>
          <w:rStyle w:val="FootnoteReference"/>
          <w:rFonts w:ascii="Palatino Linotype" w:hAnsi="Palatino Linotype"/>
          <w:sz w:val="22"/>
          <w:szCs w:val="22"/>
          <w:lang w:val="en-GB"/>
        </w:rPr>
        <w:footnoteReference w:id="82"/>
      </w:r>
      <w:r w:rsidRPr="00440B9F">
        <w:rPr>
          <w:rFonts w:ascii="Palatino Linotype" w:hAnsi="Palatino Linotype"/>
          <w:sz w:val="22"/>
          <w:szCs w:val="22"/>
          <w:lang w:val="en-GB"/>
        </w:rPr>
        <w:t xml:space="preserve"> A similar theology was espoused by the LJS (f. 1809), who supported and encouraged Jews to return to the Holy Land.</w:t>
      </w:r>
      <w:r w:rsidRPr="00440B9F">
        <w:rPr>
          <w:rStyle w:val="FootnoteReference"/>
          <w:rFonts w:ascii="Palatino Linotype" w:hAnsi="Palatino Linotype"/>
          <w:sz w:val="22"/>
          <w:szCs w:val="22"/>
          <w:lang w:val="en-GB"/>
        </w:rPr>
        <w:footnoteReference w:id="83"/>
      </w:r>
      <w:r w:rsidRPr="00440B9F">
        <w:rPr>
          <w:rFonts w:ascii="Palatino Linotype" w:hAnsi="Palatino Linotype"/>
          <w:sz w:val="22"/>
          <w:szCs w:val="22"/>
          <w:lang w:val="en-GB"/>
        </w:rPr>
        <w:t xml:space="preserve"> Branches of the LJS operated in the United States, some of which were auxiliaries for the ABCFM.  While the ABCFM was affiliated with the LJS, in both the United States and Palestine, the ABCFM did not affirm the LJS’s pre-millennial theology, for it was cautious of all overt millennial movements. One ABCFM missionary wrote: </w:t>
      </w:r>
    </w:p>
    <w:p w:rsidR="008A3BC5" w:rsidRDefault="008A3BC5"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I know that some talk as of current events show plainly, that we are advancing with rapid strides towards the millennium…At any rate, I cannot clearly see the grounds for the congratulations that some indulge and I fear they are founded more upon what is hoped for, than upon what actually has been done.</w:t>
      </w:r>
      <w:r w:rsidRPr="00440B9F">
        <w:rPr>
          <w:rStyle w:val="FootnoteReference"/>
          <w:rFonts w:ascii="Palatino Linotype" w:hAnsi="Palatino Linotype"/>
          <w:sz w:val="22"/>
          <w:szCs w:val="22"/>
          <w:lang w:val="en-GB"/>
        </w:rPr>
        <w:footnoteReference w:id="84"/>
      </w:r>
      <w:r w:rsidRPr="00440B9F">
        <w:rPr>
          <w:rFonts w:ascii="Palatino Linotype" w:hAnsi="Palatino Linotype"/>
          <w:sz w:val="22"/>
          <w:szCs w:val="22"/>
          <w:lang w:val="en-GB"/>
        </w:rPr>
        <w:t xml:space="preserve"> </w:t>
      </w:r>
    </w:p>
    <w:p w:rsidR="008A3BC5" w:rsidRPr="00440B9F" w:rsidRDefault="008A3BC5" w:rsidP="001761FF">
      <w:pPr>
        <w:pStyle w:val="BodyText"/>
        <w:ind w:left="720" w:right="720"/>
        <w:jc w:val="both"/>
        <w:rPr>
          <w:rFonts w:ascii="Palatino Linotype" w:hAnsi="Palatino Linotype"/>
          <w:sz w:val="22"/>
          <w:szCs w:val="22"/>
          <w:lang w:val="en-GB"/>
        </w:rPr>
      </w:pP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Thus, the ABCFM presented a specific theology within a diverse and vibrant Protestant environment.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Similar to secular campaigners, educational reform was one channel through which many post-millennial advocates sought to improve American society, by increasing both literacy rates and access to formal schools. However, such reforms required a change in the methods of educational instruction. At the start of the nineteenth century, formal education, for both boys and girls, was provided by small, private boarding schools with attendance limited to those capable of paying the tuition fee or receiving sponsorships.</w:t>
      </w:r>
      <w:r w:rsidRPr="00440B9F">
        <w:rPr>
          <w:rStyle w:val="FootnoteReference"/>
          <w:rFonts w:ascii="Palatino Linotype" w:hAnsi="Palatino Linotype"/>
          <w:sz w:val="22"/>
          <w:szCs w:val="22"/>
          <w:lang w:val="en-GB"/>
        </w:rPr>
        <w:footnoteReference w:id="85"/>
      </w:r>
      <w:r w:rsidRPr="00440B9F">
        <w:rPr>
          <w:rFonts w:ascii="Palatino Linotype" w:hAnsi="Palatino Linotype"/>
          <w:sz w:val="22"/>
          <w:szCs w:val="22"/>
          <w:lang w:val="en-GB"/>
        </w:rPr>
        <w:t xml:space="preserve"> In 1805, the Lancastrian system of instruction was developed in England and quickly spread to the United States. Under this system, older students monitored the scholastic development of their younger peers, thus allowing a large number of children to be instructed by one teacher.</w:t>
      </w:r>
      <w:r w:rsidRPr="00440B9F">
        <w:rPr>
          <w:rStyle w:val="FootnoteReference"/>
          <w:rFonts w:ascii="Palatino Linotype" w:hAnsi="Palatino Linotype"/>
          <w:sz w:val="22"/>
          <w:szCs w:val="22"/>
          <w:lang w:val="en-GB"/>
        </w:rPr>
        <w:footnoteReference w:id="86"/>
      </w:r>
      <w:r w:rsidRPr="00440B9F">
        <w:rPr>
          <w:rFonts w:ascii="Palatino Linotype" w:hAnsi="Palatino Linotype"/>
          <w:sz w:val="22"/>
          <w:szCs w:val="22"/>
          <w:lang w:val="en-GB"/>
        </w:rPr>
        <w:t xml:space="preserve"> In addition, following Massachusetts in 1820, a number of states opened free common schools, which granted those previously denied, because of cost, access to formal education.</w:t>
      </w:r>
      <w:r w:rsidRPr="00440B9F">
        <w:rPr>
          <w:rStyle w:val="FootnoteReference"/>
          <w:rFonts w:ascii="Palatino Linotype" w:hAnsi="Palatino Linotype"/>
          <w:sz w:val="22"/>
          <w:szCs w:val="22"/>
          <w:lang w:val="en-GB"/>
        </w:rPr>
        <w:footnoteReference w:id="87"/>
      </w:r>
      <w:r w:rsidRPr="00440B9F">
        <w:rPr>
          <w:rFonts w:ascii="Palatino Linotype" w:hAnsi="Palatino Linotype"/>
          <w:sz w:val="22"/>
          <w:szCs w:val="22"/>
          <w:lang w:val="en-GB"/>
        </w:rPr>
        <w:t xml:space="preserve"> Volunteers from secular societies, like the Board of National Popular Education (f. 1846), raised money to sponsor teachers from New England to run schools in southern and western states.</w:t>
      </w:r>
      <w:r w:rsidRPr="00440B9F">
        <w:rPr>
          <w:rStyle w:val="FootnoteReference"/>
          <w:rFonts w:ascii="Palatino Linotype" w:hAnsi="Palatino Linotype"/>
          <w:sz w:val="22"/>
          <w:szCs w:val="22"/>
          <w:lang w:val="en-GB"/>
        </w:rPr>
        <w:footnoteReference w:id="88"/>
      </w:r>
      <w:r w:rsidRPr="00440B9F">
        <w:rPr>
          <w:rFonts w:ascii="Palatino Linotype" w:hAnsi="Palatino Linotype"/>
          <w:sz w:val="22"/>
          <w:szCs w:val="22"/>
          <w:lang w:val="en-GB"/>
        </w:rPr>
        <w:t xml:space="preserve"> Due to the changes in economic systems, many young adults were freed from the confines of their family farms or rural villages and took up this ‘mission’ to be school teachers.</w:t>
      </w:r>
      <w:r w:rsidRPr="00440B9F">
        <w:rPr>
          <w:rStyle w:val="FootnoteReference"/>
          <w:rFonts w:ascii="Palatino Linotype" w:hAnsi="Palatino Linotype"/>
          <w:sz w:val="22"/>
          <w:szCs w:val="22"/>
          <w:lang w:val="en-GB"/>
        </w:rPr>
        <w:footnoteReference w:id="89"/>
      </w:r>
      <w:r w:rsidRPr="00440B9F">
        <w:rPr>
          <w:rFonts w:ascii="Palatino Linotype" w:hAnsi="Palatino Linotype"/>
          <w:sz w:val="22"/>
          <w:szCs w:val="22"/>
          <w:lang w:val="en-GB"/>
        </w:rPr>
        <w:t xml:space="preserve"> As a result, while literacy did not become universal, the ability to read and write became a trait of the normative American identity by mid-century.</w:t>
      </w:r>
      <w:r w:rsidRPr="00440B9F">
        <w:rPr>
          <w:rStyle w:val="FootnoteReference"/>
          <w:rFonts w:ascii="Palatino Linotype" w:hAnsi="Palatino Linotype"/>
          <w:sz w:val="22"/>
          <w:szCs w:val="22"/>
          <w:lang w:val="en-GB"/>
        </w:rPr>
        <w:footnoteReference w:id="90"/>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Many Evangelical Protestants argued that this secular education should be infused with ‘moral’ instruction. Although the church and state were officially separated, some reformers proposed that ‘school [should commence] every day with reading the Bible and prayer’.</w:t>
      </w:r>
      <w:r w:rsidRPr="00440B9F">
        <w:rPr>
          <w:rStyle w:val="FootnoteReference"/>
          <w:rFonts w:ascii="Palatino Linotype" w:hAnsi="Palatino Linotype"/>
          <w:sz w:val="22"/>
          <w:szCs w:val="22"/>
          <w:lang w:val="en-GB"/>
        </w:rPr>
        <w:footnoteReference w:id="91"/>
      </w:r>
      <w:r w:rsidRPr="00440B9F">
        <w:rPr>
          <w:rFonts w:ascii="Palatino Linotype" w:hAnsi="Palatino Linotype"/>
          <w:sz w:val="22"/>
          <w:szCs w:val="22"/>
          <w:lang w:val="en-GB"/>
        </w:rPr>
        <w:t xml:space="preserve"> Lyman Beecher’s aforementioned ‘Plea for the West’ was a call for Americans to monetarily support school planting in the western frontier, for he asserted that ‘the safety of our republic depends upon the intelligence, and moral principle, and patriotism, and property of the nation the entire moral and political stability of the country’, which he argued was formed at schools.</w:t>
      </w:r>
      <w:r w:rsidRPr="00440B9F">
        <w:rPr>
          <w:rStyle w:val="FootnoteReference"/>
          <w:rFonts w:ascii="Palatino Linotype" w:hAnsi="Palatino Linotype"/>
          <w:sz w:val="22"/>
          <w:szCs w:val="22"/>
          <w:lang w:val="en-GB"/>
        </w:rPr>
        <w:footnoteReference w:id="92"/>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Protestant educational reformers also believed that this moral instruction should be reinforced at home. Preachers and lay members of benevolent organisations, like the American Home Missionary Society, proposed that families should commence their days with prayers and spend their evenings reading the Family Bible or listening to a sermon delivered by the father or another invited (male) guest.</w:t>
      </w:r>
      <w:r w:rsidRPr="00440B9F">
        <w:rPr>
          <w:rFonts w:ascii="Palatino Linotype" w:hAnsi="Palatino Linotype"/>
          <w:sz w:val="22"/>
          <w:szCs w:val="22"/>
          <w:vertAlign w:val="superscript"/>
          <w:lang w:val="en-GB"/>
        </w:rPr>
        <w:footnoteReference w:id="93"/>
      </w:r>
      <w:r w:rsidRPr="00440B9F">
        <w:rPr>
          <w:rFonts w:ascii="Palatino Linotype" w:hAnsi="Palatino Linotype"/>
          <w:sz w:val="22"/>
          <w:szCs w:val="22"/>
          <w:lang w:val="en-GB"/>
        </w:rPr>
        <w:t xml:space="preserve"> Images and descriptions of family worship were printed in both religious and secular texts, and served as examples for how this domestic worship should be conducted. Some showed the entire family (including servants) encircling the family patriarch who read from the Bible, while others portrayed an intimate scene of a mother sharing the Scriptures with her children.</w:t>
      </w:r>
      <w:r w:rsidRPr="00440B9F">
        <w:rPr>
          <w:rStyle w:val="FootnoteReference"/>
          <w:rFonts w:ascii="Palatino Linotype" w:hAnsi="Palatino Linotype"/>
          <w:sz w:val="22"/>
          <w:szCs w:val="22"/>
          <w:lang w:val="en-GB"/>
        </w:rPr>
        <w:footnoteReference w:id="94"/>
      </w:r>
      <w:r w:rsidRPr="00440B9F">
        <w:rPr>
          <w:rFonts w:ascii="Palatino Linotype" w:hAnsi="Palatino Linotype"/>
          <w:sz w:val="22"/>
          <w:szCs w:val="22"/>
          <w:lang w:val="en-GB"/>
        </w:rPr>
        <w:t xml:space="preserve"> These images illuminated the domestication of Christianity through family worship and how these religious practices fused literacy with active religiosity. Family worship was also practiced by Americans living abroad, including the ABCFM missionaries in Ottoman Syria, so that the ‘Monthly Concert of Prayer’, which was held on the first Monday of each month, was an occasion when Americans, both home and abroad, united in prayers and convocation, not at churches, but within the comforts of their family parlours</w:t>
      </w:r>
      <w:r w:rsidRPr="00440B9F">
        <w:rPr>
          <w:rFonts w:ascii="Palatino Linotype" w:hAnsi="Palatino Linotype"/>
          <w:i/>
          <w:sz w:val="22"/>
          <w:szCs w:val="22"/>
          <w:lang w:val="en-GB"/>
        </w:rPr>
        <w:t>.</w:t>
      </w:r>
      <w:r w:rsidRPr="00440B9F">
        <w:rPr>
          <w:rFonts w:ascii="Palatino Linotype" w:hAnsi="Palatino Linotype"/>
          <w:sz w:val="22"/>
          <w:szCs w:val="22"/>
          <w:vertAlign w:val="superscript"/>
          <w:lang w:val="en-GB"/>
        </w:rPr>
        <w:footnoteReference w:id="95"/>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While the work of educational reform was pursued by members of secular and Protestant organisations alike, the nation’s educational leaders continued to hold Presbyterian and Congregational affiliations.</w:t>
      </w:r>
      <w:r w:rsidRPr="00440B9F">
        <w:rPr>
          <w:rStyle w:val="FootnoteReference"/>
          <w:rFonts w:ascii="Palatino Linotype" w:hAnsi="Palatino Linotype"/>
          <w:sz w:val="22"/>
          <w:szCs w:val="22"/>
          <w:lang w:val="en-GB"/>
        </w:rPr>
        <w:footnoteReference w:id="96"/>
      </w:r>
      <w:r w:rsidRPr="00440B9F">
        <w:rPr>
          <w:rFonts w:ascii="Palatino Linotype" w:hAnsi="Palatino Linotype"/>
          <w:sz w:val="22"/>
          <w:szCs w:val="22"/>
          <w:lang w:val="en-GB"/>
        </w:rPr>
        <w:t xml:space="preserve"> Although open to men from all Christian denominations, Andover and Union Seminaries, and Yale, Princeton and Oberlin Colleges remained the strongholds of the Presbyterian and Congregational male elite.</w:t>
      </w:r>
      <w:r w:rsidRPr="00440B9F">
        <w:rPr>
          <w:rStyle w:val="FootnoteReference"/>
          <w:rFonts w:ascii="Palatino Linotype" w:hAnsi="Palatino Linotype"/>
          <w:sz w:val="22"/>
          <w:szCs w:val="22"/>
          <w:lang w:val="en-GB"/>
        </w:rPr>
        <w:footnoteReference w:id="97"/>
      </w:r>
      <w:r w:rsidRPr="00440B9F">
        <w:rPr>
          <w:rFonts w:ascii="Palatino Linotype" w:hAnsi="Palatino Linotype"/>
          <w:sz w:val="22"/>
          <w:szCs w:val="22"/>
          <w:lang w:val="en-GB"/>
        </w:rPr>
        <w:t xml:space="preserve"> Prominent seminaries for women were also organised by those with Congregational or Presbyterian associations, such as Catherine Beecher’s Hartford Seminary (f. 1824) and Mary Lyon’s Mount Holyoke (f. 1837). It was from these elite academic institutions that the ABCFM found many of its missionaries, both male and female, for the ABCFM believed that ‘the work of missions requires a character disciplined by a thorough education’.</w:t>
      </w:r>
      <w:r w:rsidRPr="00440B9F">
        <w:rPr>
          <w:rStyle w:val="FootnoteReference"/>
          <w:rFonts w:ascii="Palatino Linotype" w:hAnsi="Palatino Linotype"/>
          <w:sz w:val="22"/>
          <w:szCs w:val="22"/>
          <w:lang w:val="en-GB"/>
        </w:rPr>
        <w:footnoteReference w:id="98"/>
      </w:r>
      <w:r w:rsidRPr="00440B9F">
        <w:rPr>
          <w:rFonts w:ascii="Palatino Linotype" w:hAnsi="Palatino Linotype"/>
          <w:sz w:val="22"/>
          <w:szCs w:val="22"/>
          <w:lang w:val="en-GB"/>
        </w:rPr>
        <w:t xml:space="preserve"> Thus, America’s religious leaders, prominent missionaries and educational elite remained concentrated around Presbyterian and Congregational establishments, despite the pluralisation of theology, religious denominations and educational systems.</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Historical analysis of Protestantism in nineteenth century America often focuses upon the way that men interacted with these changes. Recent research onto the gendering of Antebellum society however, has illuminated the complexities of women’s social and religious experiences during this period. This research problematises the binaries of gender and the public/private divide that defined early histories of women in the United States.</w:t>
      </w:r>
      <w:r w:rsidRPr="00440B9F">
        <w:rPr>
          <w:rStyle w:val="FootnoteReference"/>
          <w:rFonts w:ascii="Palatino Linotype" w:hAnsi="Palatino Linotype"/>
          <w:sz w:val="22"/>
          <w:szCs w:val="22"/>
          <w:lang w:val="en-GB"/>
        </w:rPr>
        <w:footnoteReference w:id="99"/>
      </w:r>
      <w:r w:rsidRPr="00440B9F">
        <w:rPr>
          <w:rFonts w:ascii="Palatino Linotype" w:hAnsi="Palatino Linotype"/>
          <w:sz w:val="22"/>
          <w:szCs w:val="22"/>
          <w:lang w:val="en-GB"/>
        </w:rPr>
        <w:t xml:space="preserve"> Drawing from these revisionists’ accounts, the following section re-examines the material presented above and explores how women experienced and negotiated the transformations within American Protestantism. This is done in order to contextualise the religious practices that encouraged women to become missionaries for the ABCFM and introduce the definitions of womanhood and motherhood that were promoted by the ABCFM missionaries to Ottoman Syria.</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Mainstream Protestantism was, in many ways, a restrictive space for American women during the early nineteenth century. Women could neither serve as ministers nor as part of the leadership committees within Presbyterian and Congregational churches. Women were prohibited from voting at church councils and could not elect new ministers.</w:t>
      </w:r>
      <w:r w:rsidRPr="00440B9F">
        <w:rPr>
          <w:rStyle w:val="FootnoteReference"/>
          <w:rFonts w:ascii="Palatino Linotype" w:hAnsi="Palatino Linotype"/>
          <w:sz w:val="22"/>
          <w:szCs w:val="22"/>
          <w:lang w:val="en-GB"/>
        </w:rPr>
        <w:footnoteReference w:id="100"/>
      </w:r>
      <w:r w:rsidRPr="00440B9F">
        <w:rPr>
          <w:rFonts w:ascii="Palatino Linotype" w:hAnsi="Palatino Linotype"/>
          <w:sz w:val="22"/>
          <w:szCs w:val="22"/>
          <w:lang w:val="en-GB"/>
        </w:rPr>
        <w:t xml:space="preserve"> Despite this patriarchal control of church leadership, the church body was often dominated by women, for they occupied the majority of pew space during worship services.</w:t>
      </w:r>
      <w:r w:rsidRPr="00440B9F">
        <w:rPr>
          <w:rStyle w:val="FootnoteReference"/>
          <w:rFonts w:ascii="Palatino Linotype" w:hAnsi="Palatino Linotype"/>
          <w:sz w:val="22"/>
          <w:szCs w:val="22"/>
          <w:lang w:val="en-GB"/>
        </w:rPr>
        <w:footnoteReference w:id="101"/>
      </w:r>
      <w:r w:rsidRPr="00440B9F">
        <w:rPr>
          <w:rFonts w:ascii="Palatino Linotype" w:hAnsi="Palatino Linotype"/>
          <w:sz w:val="22"/>
          <w:szCs w:val="22"/>
          <w:lang w:val="en-GB"/>
        </w:rPr>
        <w:t xml:space="preserve"> Occasional discord erupted between male clergy and the female congregation, so that while men remained at the head of mainstream Protestant churches, the actions of the female-body did not always follow their lead.</w:t>
      </w:r>
      <w:r w:rsidRPr="00440B9F">
        <w:rPr>
          <w:rStyle w:val="FootnoteReference"/>
          <w:rFonts w:ascii="Palatino Linotype" w:hAnsi="Palatino Linotype"/>
          <w:sz w:val="22"/>
          <w:szCs w:val="22"/>
          <w:lang w:val="en-GB"/>
        </w:rPr>
        <w:footnoteReference w:id="102"/>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Similar to the feminisation of church membership, the gradual relaxing of Calvinism has been theorised as the feminisation of Protestant theology. Evangelical Calvinists believed that all, regardless of gender, were receptive to the call of the Holy Spirit, since God spoke directly to humans through the reading of Scriptures, prayer and personal revival.</w:t>
      </w:r>
      <w:r w:rsidRPr="00440B9F">
        <w:rPr>
          <w:rFonts w:ascii="Palatino Linotype" w:hAnsi="Palatino Linotype"/>
          <w:sz w:val="22"/>
          <w:szCs w:val="22"/>
          <w:vertAlign w:val="superscript"/>
          <w:lang w:val="en-GB"/>
        </w:rPr>
        <w:footnoteReference w:id="103"/>
      </w:r>
      <w:r w:rsidRPr="00440B9F">
        <w:rPr>
          <w:rFonts w:ascii="Palatino Linotype" w:hAnsi="Palatino Linotype"/>
          <w:sz w:val="22"/>
          <w:szCs w:val="22"/>
          <w:lang w:val="en-GB"/>
        </w:rPr>
        <w:t xml:space="preserve"> With this came the risk that direct communion with the divine could occur beyond the jurisdiction of ecclesiastical (male) leadership. Some women employed this shift in theology to justify their challenges to ministerial authority.</w:t>
      </w:r>
      <w:r w:rsidRPr="00440B9F">
        <w:rPr>
          <w:rStyle w:val="FootnoteReference"/>
          <w:rFonts w:ascii="Palatino Linotype" w:hAnsi="Palatino Linotype"/>
          <w:sz w:val="22"/>
          <w:szCs w:val="22"/>
          <w:lang w:val="en-GB"/>
        </w:rPr>
        <w:footnoteReference w:id="104"/>
      </w:r>
      <w:r w:rsidRPr="00440B9F">
        <w:rPr>
          <w:rFonts w:ascii="Palatino Linotype" w:hAnsi="Palatino Linotype"/>
          <w:sz w:val="22"/>
          <w:szCs w:val="22"/>
          <w:lang w:val="en-GB"/>
        </w:rPr>
        <w:t xml:space="preserve"> Evangelical theology was also used by women to justify their participation in social reform movements. Women, such as the missionary Sarah Smith, interpreted their unique calling from God, which for Smith, meant praying for her brother’s spiritual revival and serving as a missionary to Native Americans in New York and the residents of Ottoman Syria.</w:t>
      </w:r>
      <w:r w:rsidRPr="00440B9F">
        <w:rPr>
          <w:rStyle w:val="FootnoteReference"/>
          <w:rFonts w:ascii="Palatino Linotype" w:hAnsi="Palatino Linotype"/>
          <w:sz w:val="22"/>
          <w:szCs w:val="22"/>
          <w:lang w:val="en-GB"/>
        </w:rPr>
        <w:footnoteReference w:id="105"/>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The diversity of benevolent organisations demonstrate the manifold ills that both women and men perceived to be plaguing American society. A woman could join a monthly ‘cent society’ that fundraised for missions; a weekly sewing group to sponsor seminary students; a female prayer group; or even serve as a missionary to a foreign country. This diversity, of both focus and commitment, granted women the ability to accommodate their interests in social reform to the demands of their daily lifestyles.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More narrowly, female education was promoted by both men and women as the means to create a useful (and for religious reformers, pious) population.</w:t>
      </w:r>
      <w:r w:rsidRPr="00440B9F">
        <w:rPr>
          <w:rStyle w:val="FootnoteReference"/>
          <w:rFonts w:ascii="Palatino Linotype" w:hAnsi="Palatino Linotype"/>
          <w:sz w:val="22"/>
          <w:szCs w:val="22"/>
          <w:lang w:val="en-GB"/>
        </w:rPr>
        <w:footnoteReference w:id="106"/>
      </w:r>
      <w:r w:rsidRPr="00440B9F">
        <w:rPr>
          <w:rFonts w:ascii="Palatino Linotype" w:hAnsi="Palatino Linotype"/>
          <w:sz w:val="22"/>
          <w:szCs w:val="22"/>
          <w:lang w:val="en-GB"/>
        </w:rPr>
        <w:t xml:space="preserve"> Differences arose over the type of education girls should receive. Some advocated basic literacy to be given at mixed gender common schools, while others demanded specific regiments of domestic instruction and proper ‘moral’ education for girls at single sexed institutions.</w:t>
      </w:r>
      <w:r w:rsidRPr="00440B9F">
        <w:rPr>
          <w:rStyle w:val="FootnoteReference"/>
          <w:rFonts w:ascii="Palatino Linotype" w:hAnsi="Palatino Linotype"/>
          <w:sz w:val="22"/>
          <w:szCs w:val="22"/>
          <w:lang w:val="en-GB"/>
        </w:rPr>
        <w:footnoteReference w:id="107"/>
      </w:r>
      <w:r w:rsidRPr="00440B9F">
        <w:rPr>
          <w:rFonts w:ascii="Palatino Linotype" w:hAnsi="Palatino Linotype"/>
          <w:sz w:val="22"/>
          <w:szCs w:val="22"/>
          <w:lang w:val="en-GB"/>
        </w:rPr>
        <w:t xml:space="preserve"> This curriculum for girls often included Needlework, Mathematics, Rhetoric, Poetry, in addition to Mental and Moral Philosophy, the Bible, Geography, History and Natural Sciences. Wealthier young woman studied at academies and seminaries, where they resided with distant relatives, close friends or as a boarding student.</w:t>
      </w:r>
      <w:r w:rsidRPr="00440B9F">
        <w:rPr>
          <w:rStyle w:val="FootnoteReference"/>
          <w:rFonts w:ascii="Palatino Linotype" w:hAnsi="Palatino Linotype"/>
          <w:sz w:val="22"/>
          <w:szCs w:val="22"/>
          <w:lang w:val="en-GB"/>
        </w:rPr>
        <w:footnoteReference w:id="108"/>
      </w:r>
      <w:r w:rsidRPr="00440B9F">
        <w:rPr>
          <w:rFonts w:ascii="Palatino Linotype" w:hAnsi="Palatino Linotype"/>
          <w:sz w:val="22"/>
          <w:szCs w:val="22"/>
          <w:lang w:val="en-GB"/>
        </w:rPr>
        <w:t xml:space="preserve"> These seminaries were the highest level of formal education available to women during the Antebellum period</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Although there was a cap to the academic knowledge taught at these schools, when compared to male seminaries and colleges, the graduates of female seminaries were regarded as the cultural and religious elite amongst their peers. Many became teachers and some were employed in foreign missions. The latter group included the aforementioned Sarah Smith as well as Harriet Newell and Harriet Boardman, whose bio(hagio)graphies were widely read forms of popular literature.</w:t>
      </w:r>
      <w:r w:rsidRPr="00440B9F">
        <w:rPr>
          <w:rStyle w:val="FootnoteReference"/>
          <w:rFonts w:ascii="Palatino Linotype" w:hAnsi="Palatino Linotype"/>
          <w:sz w:val="22"/>
          <w:szCs w:val="22"/>
          <w:lang w:val="en-GB"/>
        </w:rPr>
        <w:footnoteReference w:id="109"/>
      </w:r>
      <w:r w:rsidRPr="00440B9F">
        <w:rPr>
          <w:rFonts w:ascii="Palatino Linotype" w:hAnsi="Palatino Linotype"/>
          <w:sz w:val="22"/>
          <w:szCs w:val="22"/>
          <w:lang w:val="en-GB"/>
        </w:rPr>
        <w:t xml:space="preserve"> The writings of these women encouraged others to fuse high levels of educational training with religious piety, turning these educated missionaries into role models of Protestant womanhood.</w:t>
      </w:r>
      <w:r w:rsidRPr="00440B9F">
        <w:rPr>
          <w:rFonts w:ascii="Palatino Linotype" w:hAnsi="Palatino Linotype"/>
          <w:sz w:val="22"/>
          <w:szCs w:val="22"/>
          <w:vertAlign w:val="superscript"/>
          <w:lang w:val="en-GB"/>
        </w:rPr>
        <w:footnoteReference w:id="110"/>
      </w:r>
      <w:r w:rsidRPr="00440B9F">
        <w:rPr>
          <w:rFonts w:ascii="Palatino Linotype" w:hAnsi="Palatino Linotype"/>
          <w:sz w:val="22"/>
          <w:szCs w:val="22"/>
          <w:lang w:val="en-GB"/>
        </w:rPr>
        <w:t xml:space="preserve"> </w:t>
      </w:r>
    </w:p>
    <w:p w:rsidR="008A3BC5" w:rsidRPr="00440B9F" w:rsidRDefault="008A3BC5" w:rsidP="001761FF">
      <w:pPr>
        <w:pStyle w:val="BodyText"/>
        <w:spacing w:line="480" w:lineRule="auto"/>
        <w:jc w:val="both"/>
        <w:rPr>
          <w:rFonts w:ascii="Palatino Linotype" w:hAnsi="Palatino Linotype"/>
          <w:sz w:val="22"/>
          <w:szCs w:val="22"/>
          <w:lang w:val="en-GB"/>
        </w:rPr>
      </w:pPr>
      <w:r w:rsidRPr="00440B9F">
        <w:rPr>
          <w:rFonts w:ascii="Palatino Linotype" w:hAnsi="Palatino Linotype"/>
          <w:sz w:val="22"/>
          <w:szCs w:val="22"/>
          <w:lang w:val="en-GB"/>
        </w:rPr>
        <w:tab/>
      </w:r>
    </w:p>
    <w:p w:rsidR="008A3BC5" w:rsidRPr="00440B9F" w:rsidRDefault="008A3BC5" w:rsidP="001761FF">
      <w:pPr>
        <w:pStyle w:val="BodyText"/>
        <w:spacing w:line="360" w:lineRule="auto"/>
        <w:jc w:val="center"/>
        <w:rPr>
          <w:rFonts w:ascii="Arial" w:hAnsi="Arial" w:cs="Arial"/>
          <w:smallCaps/>
          <w:sz w:val="22"/>
          <w:szCs w:val="22"/>
          <w:lang w:val="en-GB"/>
        </w:rPr>
      </w:pPr>
    </w:p>
    <w:p w:rsidR="008A3BC5" w:rsidRPr="00440B9F" w:rsidRDefault="008A3BC5" w:rsidP="001761FF">
      <w:pPr>
        <w:pStyle w:val="BodyText"/>
        <w:spacing w:line="360" w:lineRule="auto"/>
        <w:jc w:val="center"/>
        <w:rPr>
          <w:rFonts w:ascii="Arial" w:hAnsi="Arial" w:cs="Arial"/>
          <w:smallCaps/>
          <w:sz w:val="22"/>
          <w:szCs w:val="22"/>
          <w:lang w:val="en-GB"/>
        </w:rPr>
      </w:pPr>
      <w:r w:rsidRPr="00440B9F">
        <w:rPr>
          <w:rFonts w:ascii="Arial" w:hAnsi="Arial" w:cs="Arial"/>
          <w:smallCaps/>
          <w:sz w:val="22"/>
          <w:szCs w:val="22"/>
          <w:lang w:val="en-GB"/>
        </w:rPr>
        <w:t>Americans within The Global Context</w:t>
      </w:r>
    </w:p>
    <w:p w:rsidR="008A3BC5" w:rsidRPr="00440B9F" w:rsidRDefault="008A3BC5" w:rsidP="001761FF">
      <w:pPr>
        <w:pStyle w:val="BodyText"/>
        <w:spacing w:line="360" w:lineRule="auto"/>
        <w:rPr>
          <w:rFonts w:ascii="Palatino Linotype" w:hAnsi="Palatino Linotype"/>
          <w:smallCaps/>
          <w:sz w:val="22"/>
          <w:szCs w:val="22"/>
          <w:lang w:val="en-GB"/>
        </w:rPr>
      </w:pP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The above sections traced the development of a normative ‘American’ identity through a process of identifying and classifying those who were designated as ‘others’ living in the United States. This section investigates the ways that Americans delineated their normative identity within the larger global context, by engaging with individuals who resided outside of the country, through both imaginative and real encounters.</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increase in literacy races, coupled with the decreased cost of printing granted a large number of Americans, particularly those of the middle class, access to print culture during the nineteenth century.</w:t>
      </w:r>
      <w:r w:rsidRPr="00440B9F">
        <w:rPr>
          <w:rFonts w:ascii="Palatino Linotype" w:hAnsi="Palatino Linotype"/>
          <w:sz w:val="22"/>
          <w:szCs w:val="22"/>
          <w:vertAlign w:val="superscript"/>
          <w:lang w:val="en-GB"/>
        </w:rPr>
        <w:footnoteReference w:id="111"/>
      </w:r>
      <w:r w:rsidRPr="00440B9F">
        <w:rPr>
          <w:rFonts w:ascii="Palatino Linotype" w:hAnsi="Palatino Linotype"/>
          <w:sz w:val="22"/>
          <w:szCs w:val="22"/>
          <w:lang w:val="en-GB"/>
        </w:rPr>
        <w:t xml:space="preserve"> World maps and atlases composed one facet of this literature, which were used at homes and in schools to explore the geography, government, religions and ‘civility’ of locations around the world.</w:t>
      </w:r>
      <w:r w:rsidRPr="00440B9F">
        <w:rPr>
          <w:rStyle w:val="FootnoteReference"/>
          <w:rFonts w:ascii="Palatino Linotype" w:hAnsi="Palatino Linotype"/>
          <w:sz w:val="22"/>
          <w:szCs w:val="22"/>
          <w:lang w:val="en-GB"/>
        </w:rPr>
        <w:footnoteReference w:id="112"/>
      </w:r>
      <w:r w:rsidRPr="00440B9F">
        <w:rPr>
          <w:rFonts w:ascii="Palatino Linotype" w:hAnsi="Palatino Linotype"/>
          <w:sz w:val="22"/>
          <w:szCs w:val="22"/>
          <w:lang w:val="en-GB"/>
        </w:rPr>
        <w:t xml:space="preserve"> These works illustrated for Americans that the United States (regardless of its ever expanding borders) was one location within a larger, global context.</w:t>
      </w:r>
      <w:r w:rsidRPr="00440B9F">
        <w:rPr>
          <w:rStyle w:val="FootnoteReference"/>
          <w:rFonts w:ascii="Palatino Linotype" w:hAnsi="Palatino Linotype"/>
          <w:sz w:val="22"/>
          <w:szCs w:val="22"/>
          <w:lang w:val="en-GB"/>
        </w:rPr>
        <w:footnoteReference w:id="113"/>
      </w:r>
      <w:r w:rsidRPr="00440B9F">
        <w:rPr>
          <w:rFonts w:ascii="Palatino Linotype" w:hAnsi="Palatino Linotype"/>
          <w:sz w:val="22"/>
          <w:szCs w:val="22"/>
          <w:lang w:val="en-GB"/>
        </w:rPr>
        <w:t xml:space="preserve"> As the position of the Prime Meridian was not standardised until 1884, sites within the United States, like Washington or Philadelphia, were often presented as the central point in this world-wide geographic study.</w:t>
      </w:r>
      <w:r w:rsidRPr="00440B9F">
        <w:rPr>
          <w:rFonts w:ascii="Palatino Linotype" w:hAnsi="Palatino Linotype"/>
          <w:sz w:val="22"/>
          <w:szCs w:val="22"/>
          <w:vertAlign w:val="superscript"/>
          <w:lang w:val="en-GB"/>
        </w:rPr>
        <w:footnoteReference w:id="114"/>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i/>
          <w:sz w:val="22"/>
          <w:szCs w:val="22"/>
          <w:lang w:val="en-GB"/>
        </w:rPr>
      </w:pPr>
      <w:r w:rsidRPr="00440B9F">
        <w:rPr>
          <w:rFonts w:ascii="Palatino Linotype" w:hAnsi="Palatino Linotype"/>
          <w:sz w:val="22"/>
          <w:szCs w:val="22"/>
          <w:lang w:val="en-GB"/>
        </w:rPr>
        <w:tab/>
        <w:t>The proliferation of printed literature allowed many to become armchair travellers. Reading or listening to certain novels granted Americans the opportunity to explore different lands, cultures and times, but from the comfort and safety of their family parlour.</w:t>
      </w:r>
      <w:r w:rsidRPr="00440B9F">
        <w:rPr>
          <w:rStyle w:val="FootnoteReference"/>
          <w:rFonts w:ascii="Palatino Linotype" w:hAnsi="Palatino Linotype"/>
          <w:sz w:val="22"/>
          <w:szCs w:val="22"/>
          <w:lang w:val="en-GB"/>
        </w:rPr>
        <w:footnoteReference w:id="115"/>
      </w:r>
      <w:r w:rsidRPr="00440B9F">
        <w:rPr>
          <w:rFonts w:ascii="Palatino Linotype" w:hAnsi="Palatino Linotype"/>
          <w:sz w:val="22"/>
          <w:szCs w:val="22"/>
          <w:lang w:val="en-GB"/>
        </w:rPr>
        <w:t xml:space="preserve"> For example, Captain Samuel Foote retold stories of his navel expeditions to his nieces, Catherine and Harriet Beecher, which he accompanied with excerpts from novels and poems by the Scottish Walter Scott and the English George Byron and Thomas Moore.</w:t>
      </w:r>
      <w:r w:rsidRPr="00440B9F">
        <w:rPr>
          <w:rStyle w:val="FootnoteReference"/>
          <w:rFonts w:ascii="Palatino Linotype" w:hAnsi="Palatino Linotype"/>
          <w:sz w:val="22"/>
          <w:szCs w:val="22"/>
          <w:lang w:val="en-GB"/>
        </w:rPr>
        <w:footnoteReference w:id="116"/>
      </w:r>
      <w:r w:rsidRPr="00440B9F">
        <w:rPr>
          <w:rFonts w:ascii="Palatino Linotype" w:hAnsi="Palatino Linotype"/>
          <w:sz w:val="22"/>
          <w:szCs w:val="22"/>
          <w:lang w:val="en-GB"/>
        </w:rPr>
        <w:t xml:space="preserve"> Works by these authors were regarded as appropriate for the Beecher girls, for they taught lessons and were perceived to be different from other pieces of fiction, which encouraged ‘vice and crime.’</w:t>
      </w:r>
      <w:r w:rsidRPr="00440B9F">
        <w:rPr>
          <w:rStyle w:val="FootnoteReference"/>
          <w:rFonts w:ascii="Palatino Linotype" w:hAnsi="Palatino Linotype"/>
          <w:sz w:val="22"/>
          <w:szCs w:val="22"/>
          <w:lang w:val="en-GB"/>
        </w:rPr>
        <w:footnoteReference w:id="117"/>
      </w:r>
      <w:r w:rsidRPr="00440B9F">
        <w:rPr>
          <w:rFonts w:ascii="Palatino Linotype" w:hAnsi="Palatino Linotype"/>
          <w:i/>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i/>
          <w:sz w:val="22"/>
          <w:szCs w:val="22"/>
          <w:lang w:val="en-GB"/>
        </w:rPr>
        <w:tab/>
      </w:r>
      <w:r w:rsidRPr="00440B9F">
        <w:rPr>
          <w:rFonts w:ascii="Palatino Linotype" w:hAnsi="Palatino Linotype"/>
          <w:sz w:val="22"/>
          <w:szCs w:val="22"/>
          <w:lang w:val="en-GB"/>
        </w:rPr>
        <w:t xml:space="preserve">Other acceptable publications were works of Evangelical Literature, which were allegorical accounts that drew upon contemporary Protestant theology. One of the most popular pieces was </w:t>
      </w:r>
      <w:r w:rsidRPr="00440B9F">
        <w:rPr>
          <w:rFonts w:ascii="Palatino Linotype" w:hAnsi="Palatino Linotype"/>
          <w:i/>
          <w:sz w:val="22"/>
          <w:szCs w:val="22"/>
          <w:lang w:val="en-GB"/>
        </w:rPr>
        <w:t>The Dairyman’s Daughter</w:t>
      </w:r>
      <w:r w:rsidRPr="00440B9F">
        <w:rPr>
          <w:rFonts w:ascii="Palatino Linotype" w:hAnsi="Palatino Linotype"/>
          <w:sz w:val="22"/>
          <w:szCs w:val="22"/>
          <w:lang w:val="en-GB"/>
        </w:rPr>
        <w:t xml:space="preserve"> written by the Englishman Legh Richmond about his interactions with a woman on the Isle of Wight.</w:t>
      </w:r>
      <w:r w:rsidRPr="00440B9F">
        <w:rPr>
          <w:rFonts w:ascii="Palatino Linotype" w:hAnsi="Palatino Linotype"/>
          <w:sz w:val="22"/>
          <w:szCs w:val="22"/>
          <w:vertAlign w:val="superscript"/>
          <w:lang w:val="en-GB"/>
        </w:rPr>
        <w:footnoteReference w:id="118"/>
      </w:r>
      <w:r w:rsidRPr="00440B9F">
        <w:rPr>
          <w:rFonts w:ascii="Palatino Linotype" w:hAnsi="Palatino Linotype"/>
          <w:sz w:val="22"/>
          <w:szCs w:val="22"/>
          <w:lang w:val="en-GB"/>
        </w:rPr>
        <w:t xml:space="preserve"> Richmond’s vivid descriptions allowed Americans the opportunity to imagine living on this south English island and ignited the desire of some to pilgrim to the United Kingdom, while objects owned by ‘the dairyman’s daughter’ were displayed for audiences in New York.</w:t>
      </w:r>
      <w:r w:rsidRPr="00440B9F">
        <w:rPr>
          <w:rFonts w:ascii="Palatino Linotype" w:hAnsi="Palatino Linotype"/>
          <w:sz w:val="22"/>
          <w:szCs w:val="22"/>
          <w:vertAlign w:val="superscript"/>
          <w:lang w:val="en-GB"/>
        </w:rPr>
        <w:footnoteReference w:id="119"/>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Travellers’ accounts were also popular amongst Antebellum Americans. Works in this genre conflated ethnographic studies, geographic observations and guide-book advice with anecdotal tales written in an approachable, personal narrative.</w:t>
      </w:r>
      <w:r w:rsidRPr="00440B9F">
        <w:rPr>
          <w:rStyle w:val="FootnoteReference"/>
          <w:rFonts w:ascii="Palatino Linotype" w:hAnsi="Palatino Linotype"/>
          <w:sz w:val="22"/>
          <w:szCs w:val="22"/>
          <w:lang w:val="en-GB"/>
        </w:rPr>
        <w:footnoteReference w:id="120"/>
      </w:r>
      <w:r w:rsidRPr="00440B9F">
        <w:rPr>
          <w:rFonts w:ascii="Palatino Linotype" w:hAnsi="Palatino Linotype"/>
          <w:sz w:val="22"/>
          <w:szCs w:val="22"/>
          <w:lang w:val="en-GB"/>
        </w:rPr>
        <w:t xml:space="preserve"> Some travelogues were penned by Americans who toured their own country or foreign lands, while others were written by non-Americans who visited the United States and analysed its society.</w:t>
      </w:r>
      <w:r w:rsidRPr="00440B9F">
        <w:rPr>
          <w:rStyle w:val="FootnoteReference"/>
          <w:rFonts w:ascii="Palatino Linotype" w:hAnsi="Palatino Linotype"/>
          <w:sz w:val="22"/>
          <w:szCs w:val="22"/>
          <w:lang w:val="en-GB"/>
        </w:rPr>
        <w:footnoteReference w:id="121"/>
      </w:r>
      <w:r w:rsidRPr="00440B9F">
        <w:rPr>
          <w:rFonts w:ascii="Palatino Linotype" w:hAnsi="Palatino Linotype"/>
          <w:sz w:val="22"/>
          <w:szCs w:val="22"/>
          <w:lang w:val="en-GB"/>
        </w:rPr>
        <w:t xml:space="preserve"> Books were also written by travellers to the ‘Holy Lands’, including the ABCFM missionaries as well as by Syrians who, after visiting or residing in Europe or the United States, recounted their return in English.</w:t>
      </w:r>
      <w:r w:rsidRPr="00440B9F">
        <w:rPr>
          <w:rFonts w:ascii="Palatino Linotype" w:hAnsi="Palatino Linotype"/>
          <w:sz w:val="22"/>
          <w:szCs w:val="22"/>
          <w:vertAlign w:val="superscript"/>
          <w:lang w:val="en-GB"/>
        </w:rPr>
        <w:footnoteReference w:id="122"/>
      </w:r>
      <w:r w:rsidRPr="00440B9F">
        <w:rPr>
          <w:rFonts w:ascii="Palatino Linotype" w:hAnsi="Palatino Linotype"/>
          <w:sz w:val="22"/>
          <w:szCs w:val="22"/>
          <w:lang w:val="en-GB"/>
        </w:rPr>
        <w:t xml:space="preserve"> These books were not only regarded as pieces of entertainment, but as theological expositions, which complemented the Bible and catechisms in providing information on how to interpret the lands and inhabitants of the Bible.</w:t>
      </w:r>
      <w:r w:rsidRPr="00440B9F">
        <w:rPr>
          <w:rStyle w:val="FootnoteReference"/>
          <w:rFonts w:ascii="Palatino Linotype" w:hAnsi="Palatino Linotype"/>
          <w:sz w:val="22"/>
          <w:szCs w:val="22"/>
          <w:lang w:val="en-GB"/>
        </w:rPr>
        <w:footnoteReference w:id="123"/>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Just as developments in print technology alleviated the costs of production and increased the distribution of books, advances in steamship and railroad technology expanded transportation links within the United States and to destinations abroad. This allowed for more Americans, particularly those from middle class backgrounds, to breach the confines of their parlour armchair and travel to the foreign lands that they studied.</w:t>
      </w:r>
      <w:r w:rsidRPr="00440B9F">
        <w:rPr>
          <w:rStyle w:val="FootnoteReference"/>
          <w:rFonts w:ascii="Palatino Linotype" w:hAnsi="Palatino Linotype"/>
          <w:sz w:val="22"/>
          <w:szCs w:val="22"/>
          <w:lang w:val="en-GB"/>
        </w:rPr>
        <w:footnoteReference w:id="124"/>
      </w:r>
      <w:r w:rsidRPr="00440B9F">
        <w:rPr>
          <w:rFonts w:ascii="Palatino Linotype" w:hAnsi="Palatino Linotype"/>
          <w:sz w:val="22"/>
          <w:szCs w:val="22"/>
          <w:lang w:val="en-GB"/>
        </w:rPr>
        <w:t xml:space="preserve"> For example, Appendix I and III shows an increase in the number of Americans who travelled to Syria to serve as missionaries, for varying lengths of time, during the 1840s and 1850s, when compared to earlier decades. Maps, guide-books and travelogues assisted such travellers in planning their journeys, for they compared the cost of transport, recommended hotels to patronise, gave the names and location of the American consular agents, and described interesting places to visit.</w:t>
      </w:r>
      <w:r w:rsidRPr="00440B9F">
        <w:rPr>
          <w:rFonts w:ascii="Palatino Linotype" w:hAnsi="Palatino Linotype"/>
          <w:sz w:val="22"/>
          <w:szCs w:val="22"/>
          <w:vertAlign w:val="superscript"/>
          <w:lang w:val="en-GB"/>
        </w:rPr>
        <w:footnoteReference w:id="125"/>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During the Antebellum period however, the frailty of the United States’ diplomatic authority impinged upon the activities of these American tourists and residents abroad. The sovereignty of the nation was granted through the War of Independence in 1776 and affirmed through various battles, such as the War of 1812, and laws like the Naturalization Act of 1790.</w:t>
      </w:r>
      <w:r w:rsidRPr="00440B9F">
        <w:rPr>
          <w:rFonts w:ascii="Palatino Linotype" w:hAnsi="Palatino Linotype"/>
          <w:sz w:val="22"/>
          <w:szCs w:val="22"/>
          <w:vertAlign w:val="superscript"/>
          <w:lang w:val="en-GB"/>
        </w:rPr>
        <w:footnoteReference w:id="126"/>
      </w:r>
      <w:r w:rsidRPr="00440B9F">
        <w:rPr>
          <w:rFonts w:ascii="Palatino Linotype" w:hAnsi="Palatino Linotype"/>
          <w:sz w:val="22"/>
          <w:szCs w:val="22"/>
          <w:lang w:val="en-GB"/>
        </w:rPr>
        <w:t xml:space="preserve"> Nevertheless, the United States proved to be ineffective in enforcing this sovereignty and protecting its citizens outside of the nation’s borders.</w:t>
      </w:r>
      <w:r w:rsidRPr="00440B9F">
        <w:rPr>
          <w:rFonts w:ascii="Palatino Linotype" w:hAnsi="Palatino Linotype"/>
          <w:sz w:val="22"/>
          <w:szCs w:val="22"/>
          <w:vertAlign w:val="superscript"/>
          <w:lang w:val="en-GB"/>
        </w:rPr>
        <w:footnoteReference w:id="127"/>
      </w:r>
      <w:r w:rsidRPr="00440B9F">
        <w:rPr>
          <w:rFonts w:ascii="Palatino Linotype" w:hAnsi="Palatino Linotype"/>
          <w:sz w:val="22"/>
          <w:szCs w:val="22"/>
          <w:lang w:val="en-GB"/>
        </w:rPr>
        <w:t xml:space="preserve"> As a result, many Americans pursued diplomatic affiliations and protection by other nations, particularly Great Britain during the nineteenth century.</w:t>
      </w:r>
      <w:r w:rsidRPr="00440B9F">
        <w:rPr>
          <w:rFonts w:ascii="Palatino Linotype" w:hAnsi="Palatino Linotype"/>
          <w:sz w:val="22"/>
          <w:szCs w:val="22"/>
          <w:vertAlign w:val="superscript"/>
          <w:lang w:val="en-GB"/>
        </w:rPr>
        <w:footnoteReference w:id="128"/>
      </w:r>
      <w:r w:rsidRPr="00440B9F">
        <w:rPr>
          <w:rFonts w:ascii="Palatino Linotype" w:hAnsi="Palatino Linotype"/>
          <w:sz w:val="22"/>
          <w:szCs w:val="22"/>
          <w:lang w:val="en-GB"/>
        </w:rPr>
        <w:t xml:space="preserve"> This was particularly true of American citizens travelling and living in Ottoman Syria. A distinct American Vice-Consulate was established at Beirut in 1834,</w:t>
      </w:r>
      <w:r w:rsidRPr="00440B9F">
        <w:rPr>
          <w:rStyle w:val="FootnoteReference"/>
          <w:rFonts w:ascii="Palatino Linotype" w:hAnsi="Palatino Linotype"/>
          <w:sz w:val="22"/>
          <w:szCs w:val="22"/>
          <w:lang w:val="en-GB"/>
        </w:rPr>
        <w:footnoteReference w:id="129"/>
      </w:r>
      <w:r w:rsidRPr="00440B9F">
        <w:rPr>
          <w:rFonts w:ascii="Palatino Linotype" w:hAnsi="Palatino Linotype"/>
          <w:sz w:val="22"/>
          <w:szCs w:val="22"/>
          <w:lang w:val="en-GB"/>
        </w:rPr>
        <w:t xml:space="preserve"> while the diplomatic protection granted to American merchants under the 1830 Ottoman-American trade agreement was broadened to include all American citizens by 1842.</w:t>
      </w:r>
      <w:r w:rsidRPr="00440B9F">
        <w:rPr>
          <w:rStyle w:val="FootnoteReference"/>
          <w:rFonts w:ascii="Palatino Linotype" w:hAnsi="Palatino Linotype"/>
          <w:sz w:val="22"/>
          <w:szCs w:val="22"/>
          <w:lang w:val="en-GB"/>
        </w:rPr>
        <w:footnoteReference w:id="130"/>
      </w:r>
      <w:r w:rsidRPr="00440B9F">
        <w:rPr>
          <w:rFonts w:ascii="Palatino Linotype" w:hAnsi="Palatino Linotype"/>
          <w:sz w:val="22"/>
          <w:szCs w:val="22"/>
          <w:lang w:val="en-GB"/>
        </w:rPr>
        <w:t xml:space="preserve"> Nevertheless, the actual power wielded by the American Vice-Consul proved to be inadequate, so that the ABCFM missionaries and many Syrian Protestants (some of whom were classified as American protégés and under American jurisdiction), sought the protection of other diplomats, particularly British consular agents, as well as Prussian officials, during periods of crisis.</w:t>
      </w:r>
      <w:r w:rsidRPr="00440B9F">
        <w:rPr>
          <w:rFonts w:ascii="Palatino Linotype" w:hAnsi="Palatino Linotype"/>
          <w:sz w:val="22"/>
          <w:szCs w:val="22"/>
          <w:vertAlign w:val="superscript"/>
          <w:lang w:val="en-GB"/>
        </w:rPr>
        <w:footnoteReference w:id="131"/>
      </w:r>
      <w:r w:rsidRPr="00440B9F">
        <w:rPr>
          <w:rFonts w:ascii="Palatino Linotype" w:hAnsi="Palatino Linotype"/>
          <w:sz w:val="22"/>
          <w:szCs w:val="22"/>
          <w:lang w:val="en-GB"/>
        </w:rPr>
        <w:t xml:space="preserve"> In addition, the acting American consul in Beirut, J. Hosford Smith, returned to the United States in 1857, so that the official protection of Americans fell under jurisdiction of the British Consul, although Tibawi argues that daily activities of the American Consulate were organised by the Syrian Protestant, Butrus al-Bustani.</w:t>
      </w:r>
      <w:r w:rsidRPr="00440B9F">
        <w:rPr>
          <w:rStyle w:val="FootnoteReference"/>
          <w:rFonts w:ascii="Palatino Linotype" w:hAnsi="Palatino Linotype"/>
          <w:sz w:val="22"/>
          <w:szCs w:val="22"/>
          <w:lang w:val="en-GB"/>
        </w:rPr>
        <w:footnoteReference w:id="132"/>
      </w:r>
      <w:r w:rsidRPr="00440B9F">
        <w:rPr>
          <w:rFonts w:ascii="Palatino Linotype" w:hAnsi="Palatino Linotype"/>
          <w:sz w:val="22"/>
          <w:szCs w:val="22"/>
          <w:lang w:val="en-GB"/>
        </w:rPr>
        <w:t xml:space="preserve"> This ‘official’ return to British protection occurred during a period of insecurity for Americans and Brits living on foreign soil, which stemmed from the Sepoy Rebellion in India and the increased instability of Ottoman Syria.</w:t>
      </w:r>
      <w:r w:rsidRPr="00440B9F">
        <w:rPr>
          <w:rStyle w:val="FootnoteReference"/>
          <w:rFonts w:ascii="Palatino Linotype" w:hAnsi="Palatino Linotype"/>
          <w:sz w:val="22"/>
          <w:szCs w:val="22"/>
          <w:lang w:val="en-GB"/>
        </w:rPr>
        <w:footnoteReference w:id="133"/>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Thus, while the number of Americans travelling to and residing abroad continued to increase throughout the nineteenth century, their standing, as Americans, within international politics and diplomacy remained precarious and undefined, despite the efforts of many literate Americans to engage with and categorise the foreign ‘other’.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r>
    </w:p>
    <w:p w:rsidR="008A3BC5" w:rsidRDefault="008A3BC5" w:rsidP="001761FF">
      <w:pPr>
        <w:pStyle w:val="BodyText"/>
        <w:spacing w:line="360" w:lineRule="auto"/>
        <w:jc w:val="center"/>
        <w:rPr>
          <w:rFonts w:ascii="Arial" w:hAnsi="Arial" w:cs="Arial"/>
          <w:smallCaps/>
          <w:lang w:val="en-GB"/>
        </w:rPr>
      </w:pPr>
    </w:p>
    <w:p w:rsidR="008A3BC5" w:rsidRPr="00440B9F" w:rsidRDefault="008A3BC5" w:rsidP="001761FF">
      <w:pPr>
        <w:pStyle w:val="BodyText"/>
        <w:spacing w:line="360" w:lineRule="auto"/>
        <w:jc w:val="center"/>
        <w:rPr>
          <w:rFonts w:ascii="Arial" w:hAnsi="Arial" w:cs="Arial"/>
          <w:smallCaps/>
          <w:sz w:val="22"/>
          <w:szCs w:val="22"/>
          <w:lang w:val="en-GB"/>
        </w:rPr>
      </w:pPr>
      <w:r w:rsidRPr="00440B9F">
        <w:rPr>
          <w:rFonts w:ascii="Arial" w:hAnsi="Arial" w:cs="Arial"/>
          <w:smallCaps/>
          <w:sz w:val="22"/>
          <w:szCs w:val="22"/>
          <w:lang w:val="en-GB"/>
        </w:rPr>
        <w:t>Categorising Syria</w:t>
      </w:r>
    </w:p>
    <w:p w:rsidR="008A3BC5" w:rsidRPr="00440B9F" w:rsidRDefault="008A3BC5" w:rsidP="001761FF">
      <w:pPr>
        <w:pStyle w:val="BodyText"/>
        <w:spacing w:line="360" w:lineRule="auto"/>
        <w:jc w:val="both"/>
        <w:rPr>
          <w:rFonts w:ascii="Palatino Linotype" w:hAnsi="Palatino Linotype"/>
          <w:smallCaps/>
          <w:sz w:val="22"/>
          <w:szCs w:val="22"/>
          <w:lang w:val="en-GB"/>
        </w:rPr>
      </w:pP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Reading novels, examining maps and venturing on overseas journeys granted many Americans the opportunity to encounter individuals from different racial, religious and cultural backgrounds. From imaginary and physical interactions, certain groups were identified and categorised as different from each other and from the emerging norms of the American identity.</w:t>
      </w:r>
      <w:r w:rsidRPr="00440B9F">
        <w:rPr>
          <w:rStyle w:val="FootnoteReference"/>
          <w:rFonts w:ascii="Palatino Linotype" w:hAnsi="Palatino Linotype"/>
          <w:sz w:val="22"/>
          <w:szCs w:val="22"/>
          <w:lang w:val="en-GB"/>
        </w:rPr>
        <w:footnoteReference w:id="134"/>
      </w:r>
      <w:r w:rsidRPr="00440B9F">
        <w:rPr>
          <w:rFonts w:ascii="Palatino Linotype" w:hAnsi="Palatino Linotype"/>
          <w:sz w:val="22"/>
          <w:szCs w:val="22"/>
          <w:lang w:val="en-GB"/>
        </w:rPr>
        <w:t xml:space="preserve"> This section examines how one group, the residents of the eastern Mediterranean region, were represented within American popular culture.</w:t>
      </w:r>
      <w:r w:rsidRPr="00440B9F">
        <w:rPr>
          <w:rStyle w:val="FootnoteReference"/>
          <w:rFonts w:ascii="Palatino Linotype" w:hAnsi="Palatino Linotype"/>
          <w:sz w:val="22"/>
          <w:szCs w:val="22"/>
          <w:lang w:val="en-GB"/>
        </w:rPr>
        <w:footnoteReference w:id="135"/>
      </w:r>
      <w:r w:rsidRPr="00440B9F">
        <w:rPr>
          <w:rFonts w:ascii="Palatino Linotype" w:hAnsi="Palatino Linotype"/>
          <w:sz w:val="22"/>
          <w:szCs w:val="22"/>
          <w:lang w:val="en-GB"/>
        </w:rPr>
        <w:t xml:space="preserve"> Outlining these perceptions is important for they were upheld by the ABCFM missionaries and were refined by the ABCFM’s own publications.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One group identified as residing in the eastern Mediterranean region were the Turks. The label ‘Turk’ was primarily linked to the Ottoman Empire and was used to describe its government and army.</w:t>
      </w:r>
      <w:r w:rsidRPr="00440B9F">
        <w:rPr>
          <w:rStyle w:val="FootnoteReference"/>
          <w:rFonts w:ascii="Palatino Linotype" w:hAnsi="Palatino Linotype"/>
          <w:sz w:val="22"/>
          <w:szCs w:val="22"/>
          <w:lang w:val="en-GB"/>
        </w:rPr>
        <w:footnoteReference w:id="136"/>
      </w:r>
      <w:r w:rsidRPr="00440B9F">
        <w:rPr>
          <w:rFonts w:ascii="Palatino Linotype" w:hAnsi="Palatino Linotype"/>
          <w:sz w:val="22"/>
          <w:szCs w:val="22"/>
          <w:lang w:val="en-GB"/>
        </w:rPr>
        <w:t xml:space="preserve"> Turk was also liberally applied by many Americans to any person of the Muslim faith.</w:t>
      </w:r>
      <w:r w:rsidRPr="00440B9F">
        <w:rPr>
          <w:rStyle w:val="FootnoteReference"/>
          <w:rFonts w:ascii="Palatino Linotype" w:hAnsi="Palatino Linotype"/>
          <w:sz w:val="22"/>
          <w:szCs w:val="22"/>
          <w:lang w:val="en-GB"/>
        </w:rPr>
        <w:footnoteReference w:id="137"/>
      </w:r>
      <w:r w:rsidRPr="00440B9F">
        <w:rPr>
          <w:rFonts w:ascii="Palatino Linotype" w:hAnsi="Palatino Linotype"/>
          <w:sz w:val="22"/>
          <w:szCs w:val="22"/>
          <w:lang w:val="en-GB"/>
        </w:rPr>
        <w:t xml:space="preserve"> As a result, the Turks were inconsistently positioned within the scale of humanity printed in American geographic texts. In some books, Turks were regarded as part of the ‘civilised’ ‘European race’,</w:t>
      </w:r>
      <w:r w:rsidRPr="00440B9F">
        <w:rPr>
          <w:rStyle w:val="FootnoteReference"/>
          <w:rFonts w:ascii="Palatino Linotype" w:hAnsi="Palatino Linotype"/>
          <w:sz w:val="22"/>
          <w:szCs w:val="22"/>
          <w:lang w:val="en-GB"/>
        </w:rPr>
        <w:footnoteReference w:id="138"/>
      </w:r>
      <w:r w:rsidRPr="00440B9F">
        <w:rPr>
          <w:rFonts w:ascii="Palatino Linotype" w:hAnsi="Palatino Linotype"/>
          <w:sz w:val="22"/>
          <w:szCs w:val="22"/>
          <w:lang w:val="en-GB"/>
        </w:rPr>
        <w:t xml:space="preserve"> while in others they were classified as ‘half-civilised’.</w:t>
      </w:r>
      <w:r w:rsidRPr="00440B9F">
        <w:rPr>
          <w:rStyle w:val="FootnoteReference"/>
          <w:rFonts w:ascii="Palatino Linotype" w:hAnsi="Palatino Linotype"/>
          <w:sz w:val="22"/>
          <w:szCs w:val="22"/>
          <w:lang w:val="en-GB"/>
        </w:rPr>
        <w:footnoteReference w:id="139"/>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This ambiguous definition of the Turk was rigidified as other groups living the eastern Mediterranean region were identified and categorised by Americans. The ‘Greeks’ were one group who were increasingly differentiated from the Turks, although like the term Turk, the Greek label encompassed a number of different attributes. Americans used this appellation to refer to the nation that struggled for independence from the Ottomans in 1821. It also described ancient Greek culture and society, which </w:t>
      </w:r>
      <w:r w:rsidRPr="00440B9F">
        <w:rPr>
          <w:noProof/>
          <w:sz w:val="22"/>
          <w:szCs w:val="22"/>
          <w:lang w:val="en-GB"/>
        </w:rPr>
        <w:pict>
          <v:shape id="_x0000_s1059" type="#_x0000_t75" style="position:absolute;left:0;text-align:left;margin-left:409.15pt;margin-top:140.65pt;width:127.25pt;height:180pt;z-index:-1;mso-position-horizontal-relative:page;mso-position-vertical-relative:page" wrapcoords="-120 0 -120 21515 21600 21515 21600 0 -120 0" o:allowoverlap="f">
            <v:imagedata r:id="rId10" o:title=""/>
            <w10:wrap type="tight" anchorx="page" anchory="page"/>
          </v:shape>
        </w:pict>
      </w:r>
      <w:r w:rsidRPr="00440B9F">
        <w:rPr>
          <w:rFonts w:ascii="Palatino Linotype" w:hAnsi="Palatino Linotype"/>
          <w:sz w:val="22"/>
          <w:szCs w:val="22"/>
          <w:lang w:val="en-GB"/>
        </w:rPr>
        <w:t xml:space="preserve">was of particular interest to Antebellum Americans, for many considered the United States to be a continuation of the ancient Athenian democracy. Works of high art, such as Hiram Power’s sculpture, </w:t>
      </w:r>
      <w:r w:rsidRPr="00440B9F">
        <w:rPr>
          <w:rFonts w:ascii="Palatino Linotype" w:hAnsi="Palatino Linotype"/>
          <w:i/>
          <w:sz w:val="22"/>
          <w:szCs w:val="22"/>
          <w:lang w:val="en-GB"/>
        </w:rPr>
        <w:t>The Greek Slave</w:t>
      </w:r>
      <w:r w:rsidRPr="00440B9F">
        <w:rPr>
          <w:rFonts w:ascii="Palatino Linotype" w:hAnsi="Palatino Linotype"/>
          <w:sz w:val="22"/>
          <w:szCs w:val="22"/>
          <w:lang w:val="en-GB"/>
        </w:rPr>
        <w:t xml:space="preserve"> (pictured), toured the United States and elicited sympathetic responses from white American spectators, who (cautiously) identified with enslaved Greek woman.</w:t>
      </w:r>
      <w:r w:rsidRPr="00440B9F">
        <w:rPr>
          <w:rStyle w:val="FootnoteReference"/>
          <w:rFonts w:ascii="Palatino Linotype" w:hAnsi="Palatino Linotype"/>
          <w:sz w:val="22"/>
          <w:szCs w:val="22"/>
          <w:lang w:val="en-GB"/>
        </w:rPr>
        <w:footnoteReference w:id="140"/>
      </w:r>
      <w:r w:rsidRPr="00440B9F">
        <w:rPr>
          <w:rFonts w:ascii="Palatino Linotype" w:hAnsi="Palatino Linotype"/>
          <w:sz w:val="22"/>
          <w:szCs w:val="22"/>
          <w:lang w:val="en-GB"/>
        </w:rPr>
        <w:t xml:space="preserve"> A ‘Greek Revival’ shook American architecture from the 1820s to 1850s, so that Americans lived and work in Greek inspired temples-homes.</w:t>
      </w:r>
      <w:r w:rsidRPr="00440B9F">
        <w:rPr>
          <w:rStyle w:val="FootnoteReference"/>
          <w:rFonts w:ascii="Palatino Linotype" w:hAnsi="Palatino Linotype"/>
          <w:sz w:val="22"/>
          <w:szCs w:val="22"/>
          <w:lang w:val="en-GB"/>
        </w:rPr>
        <w:footnoteReference w:id="141"/>
      </w:r>
      <w:r w:rsidRPr="00440B9F">
        <w:rPr>
          <w:rFonts w:ascii="Palatino Linotype" w:hAnsi="Palatino Linotype"/>
          <w:sz w:val="22"/>
          <w:szCs w:val="22"/>
          <w:lang w:val="en-GB"/>
        </w:rPr>
        <w:t xml:space="preserve"> This label was not limited to the ‘Greek’ national association however, for it was also used to describe the Greek Orthodox Church, whose congregants held a distinct position within the ecclesiastical structures of the Ottoman Empire and were recognised by Americans as residing throughout the Ottoman Empire.</w:t>
      </w:r>
      <w:r w:rsidRPr="00440B9F">
        <w:rPr>
          <w:rStyle w:val="FootnoteReference"/>
          <w:rFonts w:ascii="Palatino Linotype" w:hAnsi="Palatino Linotype"/>
          <w:sz w:val="22"/>
          <w:szCs w:val="22"/>
          <w:lang w:val="en-GB"/>
        </w:rPr>
        <w:footnoteReference w:id="142"/>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‘Egyptians’ were identified as another group and governing body who lived along the eastern Mediterranean.</w:t>
      </w:r>
      <w:r w:rsidRPr="00440B9F">
        <w:rPr>
          <w:rStyle w:val="FootnoteReference"/>
          <w:rFonts w:ascii="Palatino Linotype" w:hAnsi="Palatino Linotype"/>
          <w:sz w:val="22"/>
          <w:szCs w:val="22"/>
          <w:lang w:val="en-GB"/>
        </w:rPr>
        <w:footnoteReference w:id="143"/>
      </w:r>
      <w:r w:rsidRPr="00440B9F">
        <w:rPr>
          <w:rFonts w:ascii="Palatino Linotype" w:hAnsi="Palatino Linotype"/>
          <w:sz w:val="22"/>
          <w:szCs w:val="22"/>
          <w:lang w:val="en-GB"/>
        </w:rPr>
        <w:t xml:space="preserve"> In addition to the ‘Greek Revival’, Ancient Egyptian motifs decorated both domestic and public architecture during the Antebellum period and were reflected in reservoir walls, cemetery gates and battle monuments.</w:t>
      </w:r>
      <w:r w:rsidRPr="00440B9F">
        <w:rPr>
          <w:rFonts w:ascii="Palatino Linotype" w:hAnsi="Palatino Linotype"/>
          <w:sz w:val="22"/>
          <w:szCs w:val="22"/>
          <w:vertAlign w:val="superscript"/>
          <w:lang w:val="en-GB"/>
        </w:rPr>
        <w:footnoteReference w:id="144"/>
      </w:r>
      <w:r w:rsidRPr="00440B9F">
        <w:rPr>
          <w:rFonts w:ascii="Palatino Linotype" w:hAnsi="Palatino Linotype"/>
          <w:sz w:val="22"/>
          <w:szCs w:val="22"/>
          <w:lang w:val="en-GB"/>
        </w:rPr>
        <w:t xml:space="preserve"> Edward Lane’s </w:t>
      </w:r>
      <w:r w:rsidRPr="00440B9F">
        <w:rPr>
          <w:rFonts w:ascii="Palatino Linotype" w:hAnsi="Palatino Linotype"/>
          <w:i/>
          <w:sz w:val="22"/>
          <w:szCs w:val="22"/>
          <w:lang w:val="en-GB"/>
        </w:rPr>
        <w:t xml:space="preserve">An Account of the Manners and Customs of the Modern Egyptians </w:t>
      </w:r>
      <w:r w:rsidRPr="00440B9F">
        <w:rPr>
          <w:rFonts w:ascii="Palatino Linotype" w:hAnsi="Palatino Linotype"/>
          <w:sz w:val="22"/>
          <w:szCs w:val="22"/>
          <w:lang w:val="en-GB"/>
        </w:rPr>
        <w:t>(1836) was an important source of information on contemporary Egyptian culture, although Lane’s analysis was refined by the accounts of American travellers, such as George William Curtis, during subsequent years.</w:t>
      </w:r>
      <w:r w:rsidRPr="00440B9F">
        <w:rPr>
          <w:rFonts w:ascii="Palatino Linotype" w:hAnsi="Palatino Linotype"/>
          <w:sz w:val="22"/>
          <w:szCs w:val="22"/>
          <w:vertAlign w:val="superscript"/>
          <w:lang w:val="en-GB"/>
        </w:rPr>
        <w:footnoteReference w:id="145"/>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Americans also differentiated other, smaller groups (or ‘nations’) who lived in the region. The ‘Ansari’ and ‘Nestorians’ were two Shi’a communities identified as residing near Aleppo, while on Mount Lebanon were found the ‘Maronites’ and the ‘Druze’. The ‘Armenians’ were recognised as a separate community, whom the ABCFM referred to as ‘really a </w:t>
      </w:r>
      <w:r w:rsidRPr="00440B9F">
        <w:rPr>
          <w:rFonts w:ascii="Palatino Linotype" w:hAnsi="Palatino Linotype"/>
          <w:i/>
          <w:sz w:val="22"/>
          <w:szCs w:val="22"/>
          <w:lang w:val="en-GB"/>
        </w:rPr>
        <w:t>nation</w:t>
      </w:r>
      <w:r w:rsidRPr="00440B9F">
        <w:rPr>
          <w:rFonts w:ascii="Palatino Linotype" w:hAnsi="Palatino Linotype"/>
          <w:sz w:val="22"/>
          <w:szCs w:val="22"/>
          <w:lang w:val="en-GB"/>
        </w:rPr>
        <w:t>’, due to their distinct ecclesiastical and political position within the Ottoman Empire.</w:t>
      </w:r>
      <w:r w:rsidRPr="00440B9F">
        <w:rPr>
          <w:rStyle w:val="FootnoteReference"/>
          <w:rFonts w:ascii="Palatino Linotype" w:hAnsi="Palatino Linotype"/>
          <w:sz w:val="22"/>
          <w:szCs w:val="22"/>
          <w:lang w:val="en-GB"/>
        </w:rPr>
        <w:footnoteReference w:id="146"/>
      </w:r>
      <w:r w:rsidRPr="00440B9F">
        <w:rPr>
          <w:rFonts w:ascii="Palatino Linotype" w:hAnsi="Palatino Linotype"/>
          <w:sz w:val="22"/>
          <w:szCs w:val="22"/>
          <w:lang w:val="en-GB"/>
        </w:rPr>
        <w:t xml:space="preserve"> While the use of these labels reflect the heterogeneity of religious and ethnic identities of those living in the Syrian region, this perception of diversity was gradually eroded into a binary of ‘Muslim’ and ‘Christian’ by the mid-nineteenth century. As Makdisi shows, this change was most clearly manifested in the accounts written by Americans, including ABCFM missionaries, of the civil wars on Mount Lebanon and in Damascus during 1860, which, they argued, pitted Muslims against Christians.</w:t>
      </w:r>
      <w:r w:rsidRPr="00440B9F">
        <w:rPr>
          <w:rStyle w:val="FootnoteReference"/>
          <w:rFonts w:ascii="Palatino Linotype" w:hAnsi="Palatino Linotype"/>
          <w:sz w:val="22"/>
          <w:szCs w:val="22"/>
          <w:lang w:val="en-GB"/>
        </w:rPr>
        <w:footnoteReference w:id="147"/>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Despite being an island in the middle of the Mediterranean Sea, persons from Malta were viewed as middlemen, who, through language and culture, linked people from the eastern Mediterranean to the United States. Moreover, Malta was as a place where these different cultures mingled and, being a stopping point en route to the Ottoman Empire, was an important location where American travellers first encountered individuals from the abovementioned groups.</w:t>
      </w:r>
      <w:r w:rsidRPr="00440B9F">
        <w:rPr>
          <w:rStyle w:val="FootnoteReference"/>
          <w:rFonts w:ascii="Palatino Linotype" w:hAnsi="Palatino Linotype"/>
          <w:sz w:val="22"/>
          <w:szCs w:val="22"/>
          <w:lang w:val="en-GB"/>
        </w:rPr>
        <w:footnoteReference w:id="148"/>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Although I argue that the Syrian Station commenced in 1823, it was only after 1840 that the region of Syria and the port city of Beirut were clearly identified on American maps as noteworthy locations along the eastern Mediterranean.</w:t>
      </w:r>
      <w:r w:rsidRPr="00440B9F">
        <w:rPr>
          <w:rStyle w:val="FootnoteReference"/>
          <w:rFonts w:ascii="Palatino Linotype" w:hAnsi="Palatino Linotype"/>
          <w:sz w:val="22"/>
          <w:szCs w:val="22"/>
          <w:lang w:val="en-GB"/>
        </w:rPr>
        <w:footnoteReference w:id="149"/>
      </w:r>
      <w:r w:rsidRPr="00440B9F">
        <w:rPr>
          <w:rFonts w:ascii="Palatino Linotype" w:hAnsi="Palatino Linotype"/>
          <w:sz w:val="22"/>
          <w:szCs w:val="22"/>
          <w:lang w:val="en-GB"/>
        </w:rPr>
        <w:t xml:space="preserve"> Unlike earlier works, Jenks included a specific section and map of ‘Modern Syria’ in his Biblical Atlas,</w:t>
      </w:r>
      <w:r w:rsidRPr="00440B9F">
        <w:rPr>
          <w:rStyle w:val="FootnoteReference"/>
          <w:rFonts w:ascii="Palatino Linotype" w:hAnsi="Palatino Linotype"/>
          <w:sz w:val="22"/>
          <w:szCs w:val="22"/>
          <w:lang w:val="en-GB"/>
        </w:rPr>
        <w:footnoteReference w:id="150"/>
      </w:r>
      <w:r w:rsidRPr="00440B9F">
        <w:rPr>
          <w:rFonts w:ascii="Palatino Linotype" w:hAnsi="Palatino Linotype"/>
          <w:sz w:val="22"/>
          <w:szCs w:val="22"/>
          <w:lang w:val="en-GB"/>
        </w:rPr>
        <w:t xml:space="preserve"> while Tracey printed a ‘Map of Beyroot and Vicinity’ in his history of the ABCFM.</w:t>
      </w:r>
      <w:r w:rsidRPr="00440B9F">
        <w:rPr>
          <w:rStyle w:val="FootnoteReference"/>
          <w:rFonts w:ascii="Palatino Linotype" w:hAnsi="Palatino Linotype"/>
          <w:sz w:val="22"/>
          <w:szCs w:val="22"/>
          <w:lang w:val="en-GB"/>
        </w:rPr>
        <w:footnoteReference w:id="151"/>
      </w:r>
      <w:r w:rsidRPr="00440B9F">
        <w:rPr>
          <w:rFonts w:ascii="Palatino Linotype" w:hAnsi="Palatino Linotype"/>
          <w:sz w:val="22"/>
          <w:szCs w:val="22"/>
          <w:lang w:val="en-GB"/>
        </w:rPr>
        <w:t xml:space="preserve"> For many Americans, Syria became distinguished from Palestine, which was also known as the Bible Lands or Holy Lands.</w:t>
      </w:r>
      <w:r w:rsidRPr="00440B9F">
        <w:rPr>
          <w:rStyle w:val="FootnoteReference"/>
          <w:rFonts w:ascii="Palatino Linotype" w:hAnsi="Palatino Linotype"/>
          <w:sz w:val="22"/>
          <w:szCs w:val="22"/>
          <w:lang w:val="en-GB"/>
        </w:rPr>
        <w:footnoteReference w:id="152"/>
      </w:r>
      <w:r w:rsidRPr="00440B9F">
        <w:rPr>
          <w:rFonts w:ascii="Palatino Linotype" w:hAnsi="Palatino Linotype"/>
          <w:sz w:val="22"/>
          <w:szCs w:val="22"/>
          <w:lang w:val="en-GB"/>
        </w:rPr>
        <w:t xml:space="preserve"> This division was emphasised after the founding of the Anglo-Prussian Bishopric of Jerusalem in 1841, which divided the region according to missionary endeavours, as American-Syria, British-Palestine.</w:t>
      </w:r>
      <w:r w:rsidRPr="00440B9F">
        <w:rPr>
          <w:rStyle w:val="FootnoteReference"/>
          <w:rFonts w:ascii="Palatino Linotype" w:hAnsi="Palatino Linotype"/>
          <w:sz w:val="22"/>
          <w:szCs w:val="22"/>
          <w:lang w:val="en-GB"/>
        </w:rPr>
        <w:footnoteReference w:id="153"/>
      </w:r>
      <w:r w:rsidRPr="00440B9F">
        <w:rPr>
          <w:rFonts w:ascii="Palatino Linotype" w:hAnsi="Palatino Linotype"/>
          <w:sz w:val="22"/>
          <w:szCs w:val="22"/>
          <w:lang w:val="en-GB"/>
        </w:rPr>
        <w:t xml:space="preserve"> This definition of Syria was comparable to the region known in Arabic as </w:t>
      </w:r>
      <w:r w:rsidRPr="00440B9F">
        <w:rPr>
          <w:rFonts w:ascii="Palatino Linotype" w:hAnsi="Palatino Linotype"/>
          <w:bCs/>
          <w:i/>
          <w:sz w:val="22"/>
          <w:szCs w:val="22"/>
          <w:lang w:val="en-GB"/>
        </w:rPr>
        <w:t>Bilād al-Shām</w:t>
      </w:r>
      <w:r w:rsidRPr="00440B9F">
        <w:rPr>
          <w:rFonts w:ascii="Palatino Linotype" w:hAnsi="Palatino Linotype"/>
          <w:i/>
          <w:sz w:val="22"/>
          <w:szCs w:val="22"/>
          <w:lang w:val="en-GB"/>
        </w:rPr>
        <w:t>,</w:t>
      </w:r>
      <w:r w:rsidRPr="00440B9F">
        <w:rPr>
          <w:rFonts w:ascii="Palatino Linotype" w:hAnsi="Palatino Linotype"/>
          <w:sz w:val="22"/>
          <w:szCs w:val="22"/>
          <w:lang w:val="en-GB"/>
        </w:rPr>
        <w:t xml:space="preserve"> which included the present-day nations of Lebanon and Syria.</w:t>
      </w:r>
      <w:r w:rsidRPr="00440B9F">
        <w:rPr>
          <w:rStyle w:val="FootnoteReference"/>
          <w:rFonts w:ascii="Palatino Linotype" w:hAnsi="Palatino Linotype"/>
          <w:sz w:val="22"/>
          <w:szCs w:val="22"/>
          <w:lang w:val="en-GB"/>
        </w:rPr>
        <w:footnoteReference w:id="154"/>
      </w:r>
      <w:r w:rsidRPr="00440B9F">
        <w:rPr>
          <w:rFonts w:ascii="Palatino Linotype" w:hAnsi="Palatino Linotype"/>
          <w:sz w:val="22"/>
          <w:szCs w:val="22"/>
          <w:lang w:val="en-GB"/>
        </w:rPr>
        <w:t xml:space="preserve"> Zachs argues that Americans employed the English term ‘Syria’, instead of the Arabic term, since it drew upon Biblical and Phoenician references, while distancing Syrians from their Turkish and Arab neighbours.</w:t>
      </w:r>
      <w:r w:rsidRPr="00440B9F">
        <w:rPr>
          <w:rStyle w:val="FootnoteReference"/>
          <w:rFonts w:ascii="Palatino Linotype" w:hAnsi="Palatino Linotype"/>
          <w:sz w:val="22"/>
          <w:szCs w:val="22"/>
          <w:lang w:val="en-GB"/>
        </w:rPr>
        <w:footnoteReference w:id="155"/>
      </w:r>
      <w:r w:rsidRPr="00440B9F">
        <w:rPr>
          <w:rFonts w:ascii="Palatino Linotype" w:hAnsi="Palatino Linotype"/>
          <w:sz w:val="22"/>
          <w:szCs w:val="22"/>
          <w:lang w:val="en-GB"/>
        </w:rPr>
        <w:t xml:space="preserve"> Whether this justification is true or not, ‘Syria’ was recognised as a distinct location on the eastern Mediterranean and within the Ottoman Empire by mid-century.</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As part of this identification process, certain characteristics and tropes were linked to the groups living along the eastern Mediterranean Sea. A Biblical association was the primary trope employed by Americans to the eastern Mediterranean region and its inhabitants during the early nineteenth century. The deep knowledge of Scripture held by many American Protestants during this period allowed them to become familiar with the locations found in the Bible without visiting the region. One American commented that: </w:t>
      </w:r>
    </w:p>
    <w:p w:rsidR="008A3BC5" w:rsidRDefault="008A3BC5"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[f]rom his earliest years the child is there accustomed not only to read the Bible for himself; but he also reads or listens to it in the morning and evening devotions of the family, in the daily village-school, in the Sunday-school and Bible-class, and in the weekly ministrations of the sanctuary. Hence, as he grows up, the names of Sinai, Jerusalem, Bethlehem, the Promised Land, become associated with his earliest recollections and holiest feelings.</w:t>
      </w:r>
      <w:r w:rsidRPr="00440B9F">
        <w:rPr>
          <w:rStyle w:val="FootnoteReference"/>
          <w:rFonts w:ascii="Palatino Linotype" w:hAnsi="Palatino Linotype"/>
          <w:sz w:val="22"/>
          <w:szCs w:val="22"/>
          <w:lang w:val="en-GB"/>
        </w:rPr>
        <w:footnoteReference w:id="156"/>
      </w:r>
      <w:r w:rsidRPr="00440B9F">
        <w:rPr>
          <w:rFonts w:ascii="Palatino Linotype" w:hAnsi="Palatino Linotype"/>
          <w:sz w:val="22"/>
          <w:szCs w:val="22"/>
          <w:lang w:val="en-GB"/>
        </w:rPr>
        <w:t xml:space="preserve"> </w:t>
      </w:r>
    </w:p>
    <w:p w:rsidR="008A3BC5" w:rsidRPr="00440B9F" w:rsidRDefault="008A3BC5" w:rsidP="001761FF">
      <w:pPr>
        <w:pStyle w:val="BodyText"/>
        <w:ind w:left="720" w:right="720"/>
        <w:jc w:val="both"/>
        <w:rPr>
          <w:rFonts w:ascii="Palatino Linotype" w:hAnsi="Palatino Linotype"/>
          <w:sz w:val="22"/>
          <w:szCs w:val="22"/>
          <w:lang w:val="en-GB"/>
        </w:rPr>
      </w:pP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This strong association was emphasised through the naming of American towns after Biblical locations or references, so that Americans lived in Canaan, Salem, Lebanon, Mount Sinai and Providence.</w:t>
      </w:r>
      <w:r w:rsidRPr="00440B9F">
        <w:rPr>
          <w:rFonts w:ascii="Palatino Linotype" w:hAnsi="Palatino Linotype"/>
          <w:sz w:val="22"/>
          <w:szCs w:val="22"/>
          <w:vertAlign w:val="superscript"/>
          <w:lang w:val="en-GB"/>
        </w:rPr>
        <w:footnoteReference w:id="157"/>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Moreover, many Americans believed that the proper understanding of the Holy Bible was found in understanding the context in which it was written. While theologians studied Hebrew and Greek in order to investigate the original meaning of Scriptural texts, others argued that ethnographic research of the Holy Lands and its inhabitants granted further insight onto Biblical events, since, it was argued that ‘the mode of life’ in this region ‘remained unchangeable from age to age’.</w:t>
      </w:r>
      <w:r w:rsidRPr="00440B9F">
        <w:rPr>
          <w:rFonts w:ascii="Palatino Linotype" w:hAnsi="Palatino Linotype"/>
          <w:sz w:val="22"/>
          <w:szCs w:val="22"/>
          <w:vertAlign w:val="superscript"/>
          <w:lang w:val="en-GB"/>
        </w:rPr>
        <w:footnoteReference w:id="158"/>
      </w:r>
      <w:r w:rsidRPr="00440B9F">
        <w:rPr>
          <w:rFonts w:ascii="Palatino Linotype" w:hAnsi="Palatino Linotype"/>
          <w:sz w:val="22"/>
          <w:szCs w:val="22"/>
          <w:lang w:val="en-GB"/>
        </w:rPr>
        <w:t xml:space="preserve"> The ABCFM missionary William Thomson asked ‘[do] the customs of the East in such matters throw any light upon [Bible verse 1 Corinthians xi: 3-15]?’</w:t>
      </w:r>
      <w:r w:rsidRPr="00440B9F">
        <w:rPr>
          <w:rStyle w:val="FootnoteReference"/>
          <w:rFonts w:ascii="Palatino Linotype" w:hAnsi="Palatino Linotype"/>
          <w:sz w:val="22"/>
          <w:szCs w:val="22"/>
          <w:lang w:val="en-GB"/>
        </w:rPr>
        <w:footnoteReference w:id="159"/>
      </w:r>
      <w:r w:rsidRPr="00440B9F">
        <w:rPr>
          <w:rFonts w:ascii="Palatino Linotype" w:hAnsi="Palatino Linotype"/>
          <w:sz w:val="22"/>
          <w:szCs w:val="22"/>
          <w:lang w:val="en-GB"/>
        </w:rPr>
        <w:t xml:space="preserve"> Even if an American was unable to investigate the region herself through travel to the Holy Lands, listening to lectures given by missionaries or reading their publications granted deeper insight on to ‘the history, the geography, the dress, mode of life, domestic and civil institutions’ of both contemporary inhabitants and, more important for the Antebellum American, their Biblical foremothers and forefathers.</w:t>
      </w:r>
      <w:r w:rsidRPr="00440B9F">
        <w:rPr>
          <w:rStyle w:val="FootnoteReference"/>
          <w:rFonts w:ascii="Palatino Linotype" w:hAnsi="Palatino Linotype"/>
          <w:sz w:val="22"/>
          <w:szCs w:val="22"/>
          <w:lang w:val="en-GB"/>
        </w:rPr>
        <w:footnoteReference w:id="160"/>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Despite Americans’ stance that the region was unchanged since Biblical times, many regarded contemporary inhabitants of the region as possessing an amendable ignorance. Syrians, Egyptians and Turks were often classified as ‘half-civilized’ within the scale of humanity found in geographic texts. The </w:t>
      </w:r>
      <w:r w:rsidRPr="00440B9F">
        <w:rPr>
          <w:rFonts w:ascii="Palatino Linotype" w:hAnsi="Palatino Linotype"/>
          <w:i/>
          <w:sz w:val="22"/>
          <w:szCs w:val="22"/>
          <w:lang w:val="en-GB"/>
        </w:rPr>
        <w:t>Missionary Herald</w:t>
      </w:r>
      <w:r w:rsidRPr="00440B9F">
        <w:rPr>
          <w:rFonts w:ascii="Palatino Linotype" w:hAnsi="Palatino Linotype"/>
          <w:sz w:val="22"/>
          <w:szCs w:val="22"/>
          <w:lang w:val="en-GB"/>
        </w:rPr>
        <w:t xml:space="preserve"> urged its readers to remember ‘that however unlike our own the manners and the customs of the oriental Christians may be, they are not barbarians; nor are they heathens.’</w:t>
      </w:r>
      <w:r w:rsidRPr="00440B9F">
        <w:rPr>
          <w:rStyle w:val="FootnoteReference"/>
          <w:rFonts w:ascii="Palatino Linotype" w:hAnsi="Palatino Linotype"/>
          <w:sz w:val="22"/>
          <w:szCs w:val="22"/>
          <w:lang w:val="en-GB"/>
        </w:rPr>
        <w:footnoteReference w:id="161"/>
      </w:r>
      <w:r w:rsidRPr="00440B9F">
        <w:rPr>
          <w:rFonts w:ascii="Palatino Linotype" w:hAnsi="Palatino Linotype"/>
          <w:sz w:val="22"/>
          <w:szCs w:val="22"/>
          <w:lang w:val="en-GB"/>
        </w:rPr>
        <w:t xml:space="preserve"> Drawing from the ideas of early nineteenth century thinkers, like Samuel Stanhope Smith, many Americans held that the ignorant and degraded state of these groups resulted from their fall from a previously enlightened state, which could be rejuvenated through proper cultivation.</w:t>
      </w:r>
      <w:r w:rsidRPr="00440B9F">
        <w:rPr>
          <w:rStyle w:val="FootnoteReference"/>
          <w:rFonts w:ascii="Palatino Linotype" w:hAnsi="Palatino Linotype"/>
          <w:sz w:val="22"/>
          <w:szCs w:val="22"/>
          <w:lang w:val="en-GB"/>
        </w:rPr>
        <w:footnoteReference w:id="162"/>
      </w:r>
      <w:r w:rsidRPr="00440B9F">
        <w:rPr>
          <w:rFonts w:ascii="Palatino Linotype" w:hAnsi="Palatino Linotype"/>
          <w:sz w:val="22"/>
          <w:szCs w:val="22"/>
          <w:lang w:val="en-GB"/>
        </w:rPr>
        <w:t xml:space="preserve"> This prompted Americans to label Christians in Syria as ‘nominal’, which linked them to the ‘lukewarm’ Church of Laodicea described in Revelation 3:14-22.</w:t>
      </w:r>
      <w:r w:rsidRPr="00440B9F">
        <w:rPr>
          <w:rStyle w:val="FootnoteReference"/>
          <w:rFonts w:ascii="Palatino Linotype" w:hAnsi="Palatino Linotype"/>
          <w:sz w:val="22"/>
          <w:szCs w:val="22"/>
          <w:lang w:val="en-GB"/>
        </w:rPr>
        <w:footnoteReference w:id="163"/>
      </w:r>
      <w:r w:rsidRPr="00440B9F">
        <w:rPr>
          <w:rFonts w:ascii="Palatino Linotype" w:hAnsi="Palatino Linotype"/>
          <w:sz w:val="22"/>
          <w:szCs w:val="22"/>
          <w:lang w:val="en-GB"/>
        </w:rPr>
        <w:t xml:space="preserve"> It became the duty of ‘every enlightened Christian’ to pray for and assist in enacting ‘a wholesome and enduring reformation [of the Christians in Syria]’, through the ‘revival of spiritual religion by the republication of the doctrines of grace’, which was encouraged through the missionary endeavours of the ABCFM.</w:t>
      </w:r>
      <w:r w:rsidRPr="00440B9F">
        <w:rPr>
          <w:rStyle w:val="FootnoteReference"/>
          <w:rFonts w:ascii="Palatino Linotype" w:hAnsi="Palatino Linotype"/>
          <w:sz w:val="22"/>
          <w:szCs w:val="22"/>
          <w:lang w:val="en-GB"/>
        </w:rPr>
        <w:footnoteReference w:id="164"/>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Some Americans argued that Syrian woman were in particular need of reform. Syrian women were described as ‘disgusting compound[s] of childish ignorance, foolish superstition, impertinence and vulgarity.’</w:t>
      </w:r>
      <w:r w:rsidRPr="00440B9F">
        <w:rPr>
          <w:rStyle w:val="FootnoteReference"/>
          <w:rFonts w:ascii="Palatino Linotype" w:hAnsi="Palatino Linotype"/>
          <w:sz w:val="22"/>
          <w:szCs w:val="22"/>
          <w:lang w:val="en-GB"/>
        </w:rPr>
        <w:footnoteReference w:id="165"/>
      </w:r>
      <w:r w:rsidRPr="00440B9F">
        <w:rPr>
          <w:rFonts w:ascii="Palatino Linotype" w:hAnsi="Palatino Linotype"/>
          <w:sz w:val="22"/>
          <w:szCs w:val="22"/>
          <w:lang w:val="en-GB"/>
        </w:rPr>
        <w:t xml:space="preserve"> Similar to the poor in the United States, formal education was presented as an important channel to elevate these women. Many supported the work of the ABCFM missionaries, who organised schools for girls as part of their missionary labours. The positive fruits of this labour and additional calls for monetary support, were presented to the American populace through missionary publications and private correspondences, which demonstrates that although the ABCFM was reluctant to focus solely on secular activities, these schools were some of the more popular and enduring aspects of their work.</w:t>
      </w:r>
      <w:r w:rsidRPr="00440B9F">
        <w:rPr>
          <w:rStyle w:val="FootnoteReference"/>
          <w:rFonts w:ascii="Palatino Linotype" w:hAnsi="Palatino Linotype"/>
          <w:sz w:val="22"/>
          <w:szCs w:val="22"/>
          <w:lang w:val="en-GB"/>
        </w:rPr>
        <w:footnoteReference w:id="166"/>
      </w:r>
      <w:r w:rsidRPr="00440B9F">
        <w:rPr>
          <w:rFonts w:ascii="Palatino Linotype" w:hAnsi="Palatino Linotype"/>
          <w:sz w:val="22"/>
          <w:szCs w:val="22"/>
          <w:lang w:val="en-GB"/>
        </w:rPr>
        <w:t xml:space="preserve">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Another trait that Americans attributed to Syrian women was ornateness. Comparable to the vices of the American economic aristocracy, women in Syria, both Muslim and Christian, were regarded as being excessive and eccentric in their attire and customs. Syrian wedding feasts provided notorious examples of this perceived abundance, for the ‘ornaments’ of the bride were ‘beyond description or enumeration’.</w:t>
      </w:r>
      <w:r w:rsidRPr="00440B9F">
        <w:rPr>
          <w:rStyle w:val="FootnoteReference"/>
          <w:rFonts w:ascii="Palatino Linotype" w:hAnsi="Palatino Linotype"/>
          <w:sz w:val="22"/>
          <w:szCs w:val="22"/>
          <w:lang w:val="en-GB"/>
        </w:rPr>
        <w:footnoteReference w:id="167"/>
      </w:r>
      <w:r w:rsidRPr="00440B9F">
        <w:rPr>
          <w:rFonts w:ascii="Palatino Linotype" w:hAnsi="Palatino Linotype"/>
          <w:sz w:val="22"/>
          <w:szCs w:val="22"/>
          <w:lang w:val="en-GB"/>
        </w:rPr>
        <w:t xml:space="preserve"> Mourning rituals were viewed in a similar light, for the wailing and intense emotions displayed by Syrian women were perceived to be unkempt, disruptive and even a false performance of loss.</w:t>
      </w:r>
      <w:r w:rsidRPr="00440B9F">
        <w:rPr>
          <w:rStyle w:val="FootnoteReference"/>
          <w:rFonts w:ascii="Palatino Linotype" w:hAnsi="Palatino Linotype"/>
          <w:sz w:val="22"/>
          <w:szCs w:val="22"/>
          <w:lang w:val="en-GB"/>
        </w:rPr>
        <w:footnoteReference w:id="168"/>
      </w:r>
      <w:r w:rsidRPr="00440B9F">
        <w:rPr>
          <w:rFonts w:ascii="Palatino Linotype" w:hAnsi="Palatino Linotype"/>
          <w:sz w:val="22"/>
          <w:szCs w:val="22"/>
          <w:lang w:val="en-GB"/>
        </w:rPr>
        <w:t xml:space="preserve"> Americans’ criticism against Syrian women’s ornateness and excess was grounded upon the belief that true enlightenment and modernity was demonstrated through modest and regulated behaviour.</w:t>
      </w:r>
      <w:r w:rsidRPr="00440B9F">
        <w:rPr>
          <w:rStyle w:val="FootnoteReference"/>
          <w:rFonts w:ascii="Palatino Linotype" w:hAnsi="Palatino Linotype"/>
          <w:sz w:val="22"/>
          <w:szCs w:val="22"/>
          <w:lang w:val="en-GB"/>
        </w:rPr>
        <w:footnoteReference w:id="169"/>
      </w:r>
      <w:r w:rsidRPr="00440B9F">
        <w:rPr>
          <w:rFonts w:ascii="Palatino Linotype" w:hAnsi="Palatino Linotype"/>
          <w:sz w:val="22"/>
          <w:szCs w:val="22"/>
          <w:lang w:val="en-GB"/>
        </w:rPr>
        <w:t xml:space="preserve"> This illuminates the contradictions found within the white, middle class, Protestant American identity, for it was through upholding specific standards of behaviour that one demonstrated their inner embodiment of this ideal. </w:t>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r>
    </w:p>
    <w:p w:rsidR="008A3BC5" w:rsidRPr="00440B9F" w:rsidRDefault="008A3BC5"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It was from this dynamic environment that members of the ABCFM felt called to leave the United States and evangelise the residents of Ottoman Syria. The culture performed by these missionaries embodied the normative American identity that emerged during this period. The environment in Syria was not a blank slate for these Americans to simply transfer their culture and faith however, for the ABCFM missionaries had to present Protestantism to the residents of this location. It is through situating the emergence of the ABCFM and the Protestant Circle within this historical context, that one can begin to understand the dynamics of this negotiation and adaptation process. The history of the ABCFM in the Antebellum United States is thus only one piece of this story, for the other half of the Protestants’ history is found in the equally vibrant society of contemporary Ottoman Syria.  </w:t>
      </w:r>
    </w:p>
    <w:p w:rsidR="008A3BC5" w:rsidRPr="00440B9F" w:rsidRDefault="008A3BC5" w:rsidP="001761FF">
      <w:pPr>
        <w:pStyle w:val="BodyText"/>
        <w:spacing w:line="360" w:lineRule="auto"/>
        <w:rPr>
          <w:rFonts w:ascii="Palatino Linotype" w:hAnsi="Palatino Linotype"/>
          <w:sz w:val="22"/>
          <w:szCs w:val="22"/>
          <w:lang w:val="en-GB"/>
        </w:rPr>
      </w:pPr>
      <w:bookmarkStart w:id="0" w:name="page63"/>
      <w:bookmarkStart w:id="1" w:name="Frame1"/>
      <w:bookmarkEnd w:id="0"/>
      <w:bookmarkEnd w:id="1"/>
    </w:p>
    <w:p w:rsidR="008A3BC5" w:rsidRPr="00440B9F" w:rsidRDefault="008A3BC5" w:rsidP="001761FF">
      <w:pPr>
        <w:pStyle w:val="BodyText"/>
        <w:spacing w:line="360" w:lineRule="auto"/>
        <w:rPr>
          <w:rFonts w:ascii="Palatino Linotype" w:hAnsi="Palatino Linotype"/>
          <w:sz w:val="22"/>
          <w:szCs w:val="22"/>
          <w:lang w:val="en-GB"/>
        </w:rPr>
        <w:sectPr w:rsidR="008A3BC5" w:rsidRPr="00440B9F" w:rsidSect="00855473">
          <w:footnotePr>
            <w:numRestart w:val="eachSect"/>
          </w:footnotePr>
          <w:type w:val="continuous"/>
          <w:pgSz w:w="12240" w:h="15840"/>
          <w:pgMar w:top="1134" w:right="1418" w:bottom="2268" w:left="2268" w:header="562" w:footer="562" w:gutter="0"/>
          <w:cols w:space="720"/>
        </w:sectPr>
      </w:pPr>
      <w:r w:rsidRPr="00440B9F">
        <w:rPr>
          <w:rFonts w:ascii="Palatino Linotype" w:hAnsi="Palatino Linotype"/>
          <w:sz w:val="22"/>
          <w:szCs w:val="22"/>
          <w:lang w:val="en-GB"/>
        </w:rPr>
        <w:br w:type="page"/>
      </w:r>
    </w:p>
    <w:p w:rsidR="001017F6" w:rsidRPr="00AE15DA" w:rsidRDefault="001017F6" w:rsidP="007760DA">
      <w:pPr>
        <w:pStyle w:val="BodyText"/>
        <w:spacing w:line="360" w:lineRule="auto"/>
        <w:rPr>
          <w:rFonts w:ascii="Palatino Linotype" w:hAnsi="Palatino Linotype"/>
          <w:sz w:val="22"/>
          <w:szCs w:val="22"/>
        </w:rPr>
      </w:pPr>
    </w:p>
    <w:sectPr w:rsidR="001017F6" w:rsidRPr="00AE15DA" w:rsidSect="00AC2487">
      <w:footerReference w:type="default" r:id="rId11"/>
      <w:endnotePr>
        <w:numFmt w:val="decimal"/>
      </w:endnotePr>
      <w:pgSz w:w="12240" w:h="15840"/>
      <w:pgMar w:top="1134" w:right="1418" w:bottom="2268" w:left="2268" w:header="562" w:footer="562" w:gutter="0"/>
      <w:pgNumType w:start="3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ADA" w:rsidRDefault="00CE2ADA">
      <w:r>
        <w:separator/>
      </w:r>
    </w:p>
  </w:endnote>
  <w:endnote w:type="continuationSeparator" w:id="1">
    <w:p w:rsidR="00CE2ADA" w:rsidRDefault="00CE2A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BC5" w:rsidRDefault="008A3BC5">
    <w:pPr>
      <w:pStyle w:val="Footer"/>
      <w:jc w:val="right"/>
    </w:pPr>
    <w:fldSimple w:instr=" PAGE   \* MERGEFORMAT ">
      <w:r w:rsidR="00CE2ADA">
        <w:rPr>
          <w:noProof/>
        </w:rPr>
        <w:t>1</w:t>
      </w:r>
    </w:fldSimple>
  </w:p>
  <w:p w:rsidR="008A3BC5" w:rsidRDefault="008A3BC5">
    <w:pPr>
      <w:pStyle w:val="BodyText"/>
      <w:spacing w:after="28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73F" w:rsidRDefault="007314FD">
    <w:pPr>
      <w:pStyle w:val="Footer"/>
      <w:jc w:val="right"/>
    </w:pPr>
    <w:fldSimple w:instr=" PAGE   \* MERGEFORMAT ">
      <w:r w:rsidR="00752FF1">
        <w:rPr>
          <w:noProof/>
        </w:rPr>
        <w:t>31</w:t>
      </w:r>
    </w:fldSimple>
  </w:p>
  <w:p w:rsidR="00BA763C" w:rsidRDefault="00BA763C">
    <w:pPr>
      <w:pStyle w:val="BodyText"/>
      <w:spacing w:after="28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ADA" w:rsidRDefault="00CE2ADA">
      <w:r>
        <w:separator/>
      </w:r>
    </w:p>
  </w:footnote>
  <w:footnote w:type="continuationSeparator" w:id="1">
    <w:p w:rsidR="00CE2ADA" w:rsidRDefault="00CE2ADA">
      <w:r>
        <w:continuationSeparator/>
      </w:r>
    </w:p>
  </w:footnote>
  <w:footnote w:id="2">
    <w:p w:rsidR="008A3BC5" w:rsidRPr="008516AA" w:rsidRDefault="008A3BC5" w:rsidP="001761FF">
      <w:pPr>
        <w:pStyle w:val="FootnoteText"/>
        <w:ind w:left="90" w:hanging="90"/>
        <w:jc w:val="both"/>
        <w:rPr>
          <w:rFonts w:ascii="Palatino Linotype" w:hAnsi="Palatino Linotype"/>
        </w:rPr>
      </w:pPr>
      <w:r w:rsidRPr="008516AA">
        <w:rPr>
          <w:rStyle w:val="FootnoteReference"/>
          <w:rFonts w:ascii="Palatino Linotype" w:hAnsi="Palatino Linotype"/>
        </w:rPr>
        <w:footnoteRef/>
      </w:r>
      <w:r w:rsidRPr="008516AA">
        <w:rPr>
          <w:rFonts w:ascii="Palatino Linotype" w:hAnsi="Palatino Linotype"/>
        </w:rPr>
        <w:t xml:space="preserve"> </w:t>
      </w:r>
      <w:r w:rsidRPr="008516AA">
        <w:rPr>
          <w:rFonts w:ascii="Palatino Linotype" w:hAnsi="Palatino Linotype"/>
          <w:lang w:val="en-GB"/>
        </w:rPr>
        <w:t xml:space="preserve">The early to mid-nineteenth century is often referred to as the ‘Antebellum’ period, for although it followed the early </w:t>
      </w:r>
      <w:r>
        <w:rPr>
          <w:rFonts w:ascii="Palatino Linotype" w:hAnsi="Palatino Linotype"/>
          <w:lang w:val="en-GB"/>
        </w:rPr>
        <w:t xml:space="preserve">years of the </w:t>
      </w:r>
      <w:r w:rsidRPr="008516AA">
        <w:rPr>
          <w:rFonts w:ascii="Palatino Linotype" w:hAnsi="Palatino Linotype"/>
          <w:lang w:val="en-GB"/>
        </w:rPr>
        <w:t>Republic and the War of 1812, it immediately preceded the American Civil War (1861 to 1865).</w:t>
      </w:r>
    </w:p>
  </w:footnote>
  <w:footnote w:id="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These were Massachusetts, New Hampshire, Vermont, Connecticut, Rhode Island, New York, New Jersey, Pennsylvania, Delaware, Maryland, Virginia, North Carolina, South Carolina, Georgia, Tennessee, Kentucky and Ohio.</w:t>
      </w:r>
    </w:p>
  </w:footnote>
  <w:footnote w:id="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In addition to the above were added Maine, Indiana, Illinois, Iowa, Michigan, Kansas, Minnesota, Arkansas, Missouri, Oregon, California, Texas, Louisiana, Mississippi, Alabama and Florida.</w:t>
      </w:r>
    </w:p>
  </w:footnote>
  <w:footnote w:id="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Martin Bruckner, ‘Literacy for Empire: The ABCs of Geography and the Rule of Territoriality in Early nineteenth-Century America’, Michie and Thomas, </w:t>
      </w:r>
      <w:r w:rsidRPr="006F126F">
        <w:rPr>
          <w:rFonts w:ascii="Palatino Linotype" w:hAnsi="Palatino Linotype"/>
          <w:i/>
          <w:lang w:val="en-GB"/>
        </w:rPr>
        <w:t>NCG</w:t>
      </w:r>
      <w:r w:rsidRPr="006F126F">
        <w:rPr>
          <w:rFonts w:ascii="Palatino Linotype" w:hAnsi="Palatino Linotype"/>
          <w:lang w:val="en-GB"/>
        </w:rPr>
        <w:t>: 183</w:t>
      </w:r>
    </w:p>
  </w:footnote>
  <w:footnote w:id="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J. L. Hazzard and I.S. Drake</w:t>
      </w:r>
      <w:r>
        <w:rPr>
          <w:rFonts w:ascii="Palatino Linotype" w:hAnsi="Palatino Linotype"/>
          <w:lang w:val="en-GB"/>
        </w:rPr>
        <w:t>,</w:t>
      </w:r>
      <w:r w:rsidRPr="006F126F">
        <w:rPr>
          <w:rFonts w:ascii="Palatino Linotype" w:hAnsi="Palatino Linotype"/>
          <w:lang w:val="en-GB"/>
        </w:rPr>
        <w:t xml:space="preserve"> ‘Mitchell's New Traveller's Guide Through The United States, Showing the Rail Roads, Canals, Stage Roads &amp;c. With Distances From Place To Place’</w:t>
      </w:r>
      <w:r w:rsidRPr="006F126F">
        <w:rPr>
          <w:rFonts w:ascii="Palatino Linotype" w:hAnsi="Palatino Linotype"/>
          <w:i/>
          <w:lang w:val="en-GB"/>
        </w:rPr>
        <w:t xml:space="preserve"> </w:t>
      </w:r>
      <w:r>
        <w:rPr>
          <w:rFonts w:ascii="Palatino Linotype" w:hAnsi="Palatino Linotype"/>
          <w:lang w:val="en-GB"/>
        </w:rPr>
        <w:t>(Philadelphia: Charles, 1860).</w:t>
      </w:r>
    </w:p>
  </w:footnote>
  <w:footnote w:id="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Mary P. Ryan, </w:t>
      </w:r>
      <w:r w:rsidRPr="006F126F">
        <w:rPr>
          <w:rFonts w:ascii="Palatino Linotype" w:hAnsi="Palatino Linotype"/>
          <w:i/>
          <w:lang w:val="en-GB"/>
        </w:rPr>
        <w:t xml:space="preserve">Cradle of the Middle Class: The Family in Oneida County, New York, 1790-1865 </w:t>
      </w:r>
      <w:r w:rsidRPr="006F126F">
        <w:rPr>
          <w:rFonts w:ascii="Palatino Linotype" w:hAnsi="Palatino Linotype"/>
          <w:lang w:val="en-GB"/>
        </w:rPr>
        <w:t>(Cambridge: Cambridge University Press, 1981): 52-59.</w:t>
      </w:r>
    </w:p>
  </w:footnote>
  <w:footnote w:id="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Lyman Beecher, ‘A Plea for the West’</w:t>
      </w:r>
      <w:r w:rsidRPr="006F126F">
        <w:rPr>
          <w:rFonts w:ascii="Palatino Linotype" w:hAnsi="Palatino Linotype"/>
          <w:i/>
          <w:lang w:val="en-GB"/>
        </w:rPr>
        <w:t xml:space="preserve"> </w:t>
      </w:r>
      <w:r w:rsidRPr="006F126F">
        <w:rPr>
          <w:rFonts w:ascii="Palatino Linotype" w:hAnsi="Palatino Linotype"/>
          <w:lang w:val="en-GB"/>
        </w:rPr>
        <w:t>(Cincinnati: Truman and Smith, 1835): 37</w:t>
      </w:r>
    </w:p>
  </w:footnote>
  <w:footnote w:id="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Bird, </w:t>
      </w:r>
      <w:r w:rsidRPr="006F126F">
        <w:rPr>
          <w:rFonts w:ascii="Palatino Linotype" w:hAnsi="Palatino Linotype"/>
          <w:i/>
          <w:lang w:val="en-GB"/>
        </w:rPr>
        <w:t xml:space="preserve">Aspects of Religion: </w:t>
      </w:r>
      <w:r w:rsidRPr="006F126F">
        <w:rPr>
          <w:rFonts w:ascii="Palatino Linotype" w:hAnsi="Palatino Linotype"/>
          <w:lang w:val="en-GB"/>
        </w:rPr>
        <w:t xml:space="preserve">30; Thomas A. Askew and Peter W. Spellman, </w:t>
      </w:r>
      <w:r w:rsidRPr="006F126F">
        <w:rPr>
          <w:rFonts w:ascii="Palatino Linotype" w:hAnsi="Palatino Linotype"/>
          <w:i/>
          <w:lang w:val="en-GB"/>
        </w:rPr>
        <w:t xml:space="preserve">The Churches and the American Experience: Ideals and Institutions </w:t>
      </w:r>
      <w:r w:rsidRPr="006F126F">
        <w:rPr>
          <w:rFonts w:ascii="Palatino Linotype" w:hAnsi="Palatino Linotype"/>
          <w:lang w:val="en-GB"/>
        </w:rPr>
        <w:t>(Grand Rapids, Michigan: Baker Book House, 1984): 86.</w:t>
      </w:r>
    </w:p>
  </w:footnote>
  <w:footnote w:id="1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n.s. ‘Report of the Board of Missions for the Protestant Episcopal Church’, </w:t>
      </w:r>
      <w:r w:rsidRPr="006F126F">
        <w:rPr>
          <w:rFonts w:ascii="Palatino Linotype" w:hAnsi="Palatino Linotype"/>
          <w:i/>
          <w:lang w:val="en-GB"/>
        </w:rPr>
        <w:t>The American Christian Record: Containing the History, Confession of Faith, in the United States and Europe; A list of all Clergymen with</w:t>
      </w:r>
      <w:r>
        <w:rPr>
          <w:rFonts w:ascii="Palatino Linotype" w:hAnsi="Palatino Linotype"/>
          <w:i/>
          <w:lang w:val="en-GB"/>
        </w:rPr>
        <w:t xml:space="preserve"> their post office address, etc</w:t>
      </w:r>
      <w:r w:rsidRPr="006F126F">
        <w:rPr>
          <w:rFonts w:ascii="Palatino Linotype" w:hAnsi="Palatino Linotype"/>
          <w:i/>
          <w:lang w:val="en-GB"/>
        </w:rPr>
        <w:t xml:space="preserve">,  </w:t>
      </w:r>
      <w:r w:rsidRPr="006F126F">
        <w:rPr>
          <w:rFonts w:ascii="Palatino Linotype" w:hAnsi="Palatino Linotype"/>
          <w:lang w:val="en-GB"/>
        </w:rPr>
        <w:t>(New York: W. R. C. Clark and Meeker, 1860): 310-321.</w:t>
      </w:r>
    </w:p>
  </w:footnote>
  <w:footnote w:id="1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For a description of the development and incorporation of </w:t>
      </w:r>
      <w:r>
        <w:rPr>
          <w:rFonts w:ascii="Palatino Linotype" w:hAnsi="Palatino Linotype"/>
          <w:lang w:val="en-GB"/>
        </w:rPr>
        <w:t xml:space="preserve">the frontier city of </w:t>
      </w:r>
      <w:r w:rsidRPr="006F126F">
        <w:rPr>
          <w:rFonts w:ascii="Palatino Linotype" w:hAnsi="Palatino Linotype"/>
          <w:lang w:val="en-GB"/>
        </w:rPr>
        <w:t xml:space="preserve">Utica, New York see Ryan, </w:t>
      </w:r>
      <w:r w:rsidRPr="006F126F">
        <w:rPr>
          <w:rFonts w:ascii="Palatino Linotype" w:hAnsi="Palatino Linotype"/>
          <w:i/>
          <w:lang w:val="en-GB"/>
        </w:rPr>
        <w:t>Cradle of the Middle Class</w:t>
      </w:r>
      <w:r w:rsidRPr="006F126F">
        <w:rPr>
          <w:rFonts w:ascii="Palatino Linotype" w:hAnsi="Palatino Linotype"/>
          <w:lang w:val="en-GB"/>
        </w:rPr>
        <w:t>.</w:t>
      </w:r>
    </w:p>
  </w:footnote>
  <w:footnote w:id="1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Genevieve McCoy, ‘The Women of the ABCFM Oregon Mission and the Conflicted Language of Calvinism’, </w:t>
      </w:r>
      <w:r w:rsidRPr="006F126F">
        <w:rPr>
          <w:rFonts w:ascii="Palatino Linotype" w:hAnsi="Palatino Linotype"/>
          <w:i/>
          <w:lang w:val="en-GB"/>
        </w:rPr>
        <w:t>Church History</w:t>
      </w:r>
      <w:r w:rsidRPr="006F126F">
        <w:rPr>
          <w:rFonts w:ascii="Palatino Linotype" w:hAnsi="Palatino Linotype"/>
          <w:lang w:val="en-GB"/>
        </w:rPr>
        <w:t xml:space="preserve">, 64: 1 (1995): 62-82. </w:t>
      </w:r>
    </w:p>
  </w:footnote>
  <w:footnote w:id="1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Jonathan Prude, ‘Capitalism, Industrialization, and the Factory in Post-Revolutionary America’, </w:t>
      </w:r>
      <w:r w:rsidRPr="006F126F">
        <w:rPr>
          <w:rFonts w:ascii="Palatino Linotype" w:hAnsi="Palatino Linotype"/>
          <w:i/>
          <w:lang w:val="en-GB"/>
        </w:rPr>
        <w:t>Journal of the Early Republic</w:t>
      </w:r>
      <w:r w:rsidRPr="006F126F">
        <w:rPr>
          <w:rFonts w:ascii="Palatino Linotype" w:hAnsi="Palatino Linotype"/>
          <w:lang w:val="en-GB"/>
        </w:rPr>
        <w:t>, 16: 2 (1996): 237-255.</w:t>
      </w:r>
    </w:p>
  </w:footnote>
  <w:footnote w:id="1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Daniel Feller, </w:t>
      </w:r>
      <w:r w:rsidRPr="006F126F">
        <w:rPr>
          <w:rFonts w:ascii="Palatino Linotype" w:hAnsi="Palatino Linotype"/>
          <w:i/>
          <w:lang w:val="en-GB"/>
        </w:rPr>
        <w:t xml:space="preserve">The Jacksonian Promise: America, 1815-1840 </w:t>
      </w:r>
      <w:r w:rsidRPr="006F126F">
        <w:rPr>
          <w:rFonts w:ascii="Palatino Linotype" w:hAnsi="Palatino Linotype"/>
          <w:lang w:val="en-GB"/>
        </w:rPr>
        <w:t>(Baltimore and London: John Hopkins University Press, 1995): 18-19; 22-25.</w:t>
      </w:r>
    </w:p>
  </w:footnote>
  <w:footnote w:id="1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‘Excursions to the West [of northern New York State]’, in G.M. Davidson, </w:t>
      </w:r>
      <w:r w:rsidRPr="006F126F">
        <w:rPr>
          <w:rFonts w:ascii="Palatino Linotype" w:hAnsi="Palatino Linotype"/>
          <w:i/>
          <w:lang w:val="en-GB"/>
        </w:rPr>
        <w:t xml:space="preserve">The Traveller’s Guide through the Middle and Northern States, and the Provinces of Canada </w:t>
      </w:r>
      <w:r w:rsidRPr="006F126F">
        <w:rPr>
          <w:rFonts w:ascii="Palatino Linotype" w:hAnsi="Palatino Linotype"/>
          <w:lang w:val="en-GB"/>
        </w:rPr>
        <w:t>(Seventh Edition)</w:t>
      </w:r>
      <w:r w:rsidRPr="006F126F">
        <w:rPr>
          <w:rFonts w:ascii="Palatino Linotype" w:hAnsi="Palatino Linotype"/>
          <w:i/>
          <w:lang w:val="en-GB"/>
        </w:rPr>
        <w:t xml:space="preserve"> </w:t>
      </w:r>
      <w:r w:rsidRPr="006F126F">
        <w:rPr>
          <w:rFonts w:ascii="Palatino Linotype" w:hAnsi="Palatino Linotype"/>
          <w:lang w:val="en-GB"/>
        </w:rPr>
        <w:t>(Saratoga Springs: G.M. Davidson, 1837): 193-194.</w:t>
      </w:r>
    </w:p>
  </w:footnote>
  <w:footnote w:id="1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Alan Gowans, </w:t>
      </w:r>
      <w:r w:rsidRPr="006F126F">
        <w:rPr>
          <w:rFonts w:ascii="Palatino Linotype" w:hAnsi="Palatino Linotype"/>
          <w:i/>
          <w:lang w:val="en-GB"/>
        </w:rPr>
        <w:t xml:space="preserve">Images of American Living: Four Centuries of Architecture and Furniture as Cultural Expressions </w:t>
      </w:r>
      <w:r w:rsidRPr="006F126F">
        <w:rPr>
          <w:rFonts w:ascii="Palatino Linotype" w:hAnsi="Palatino Linotype"/>
          <w:lang w:val="en-GB"/>
        </w:rPr>
        <w:t>(Philadelphia and New York: J.B. Lippincott, 1964): 229</w:t>
      </w:r>
      <w:r>
        <w:rPr>
          <w:rFonts w:ascii="Palatino Linotype" w:hAnsi="Palatino Linotype"/>
          <w:lang w:val="en-GB"/>
        </w:rPr>
        <w:t>.</w:t>
      </w:r>
      <w:r w:rsidRPr="006F126F">
        <w:rPr>
          <w:rFonts w:ascii="Palatino Linotype" w:hAnsi="Palatino Linotype"/>
          <w:lang w:val="en-GB"/>
        </w:rPr>
        <w:t xml:space="preserve"> Prude, ‘Capitalism, Industrialization, and the Factory’: 237-255; Joan M. Jensen, ‘Butter Making and Economic Development in Mid-Atlantic America from 1750 to 1850’, </w:t>
      </w:r>
      <w:r w:rsidRPr="006F126F">
        <w:rPr>
          <w:rFonts w:ascii="Palatino Linotype" w:hAnsi="Palatino Linotype"/>
          <w:i/>
          <w:lang w:val="en-GB"/>
        </w:rPr>
        <w:t>Signs,</w:t>
      </w:r>
      <w:r w:rsidRPr="006F126F">
        <w:rPr>
          <w:rFonts w:ascii="Palatino Linotype" w:hAnsi="Palatino Linotype"/>
          <w:lang w:val="en-GB"/>
        </w:rPr>
        <w:t xml:space="preserve"> 13:4 (1988): 819-825.</w:t>
      </w:r>
    </w:p>
  </w:footnote>
  <w:footnote w:id="1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Nancy F. Cott, </w:t>
      </w:r>
      <w:r w:rsidRPr="006F126F">
        <w:rPr>
          <w:rFonts w:ascii="Palatino Linotype" w:hAnsi="Palatino Linotype"/>
          <w:i/>
          <w:lang w:val="en-GB"/>
        </w:rPr>
        <w:t xml:space="preserve">The Bonds of Womanhood: “Woman’s Sphere” in New England, 1780-1835 </w:t>
      </w:r>
      <w:r w:rsidRPr="006F126F">
        <w:rPr>
          <w:rFonts w:ascii="Palatino Linotype" w:hAnsi="Palatino Linotype"/>
          <w:lang w:val="en-GB"/>
        </w:rPr>
        <w:t xml:space="preserve">(New Haven and London: Yale University Press, 1977): 42-55, 137-139; Bryan LeBeau, </w:t>
      </w:r>
      <w:r w:rsidRPr="006F126F">
        <w:rPr>
          <w:rFonts w:ascii="Palatino Linotype" w:hAnsi="Palatino Linotype"/>
          <w:i/>
          <w:lang w:val="en-GB"/>
        </w:rPr>
        <w:t xml:space="preserve">Religion in America to 1865 </w:t>
      </w:r>
      <w:r w:rsidRPr="006F126F">
        <w:rPr>
          <w:rFonts w:ascii="Palatino Linotype" w:hAnsi="Palatino Linotype"/>
          <w:lang w:val="en-GB"/>
        </w:rPr>
        <w:t>(</w:t>
      </w:r>
      <w:r>
        <w:rPr>
          <w:rFonts w:ascii="Palatino Linotype" w:hAnsi="Palatino Linotype"/>
          <w:lang w:val="en-GB"/>
        </w:rPr>
        <w:t>Edinburgh</w:t>
      </w:r>
      <w:r w:rsidRPr="006F126F">
        <w:rPr>
          <w:rFonts w:ascii="Palatino Linotype" w:hAnsi="Palatino Linotype"/>
          <w:lang w:val="en-GB"/>
        </w:rPr>
        <w:t xml:space="preserve">: </w:t>
      </w:r>
      <w:r>
        <w:rPr>
          <w:rFonts w:ascii="Palatino Linotype" w:hAnsi="Palatino Linotype"/>
          <w:lang w:val="en-GB"/>
        </w:rPr>
        <w:t>Edinburgh</w:t>
      </w:r>
      <w:r w:rsidRPr="006F126F">
        <w:rPr>
          <w:rFonts w:ascii="Palatino Linotype" w:hAnsi="Palatino Linotype"/>
          <w:lang w:val="en-GB"/>
        </w:rPr>
        <w:t xml:space="preserve"> University Press, 2000): 114; Marilyn J. Westerkamp, </w:t>
      </w:r>
      <w:r w:rsidRPr="006F126F">
        <w:rPr>
          <w:rFonts w:ascii="Palatino Linotype" w:hAnsi="Palatino Linotype"/>
          <w:i/>
          <w:lang w:val="en-GB"/>
        </w:rPr>
        <w:t xml:space="preserve">Women and Religion in Early America: 1600-1850: The Puritan and Evangelical Traditions </w:t>
      </w:r>
      <w:r w:rsidRPr="006F126F">
        <w:rPr>
          <w:rFonts w:ascii="Palatino Linotype" w:hAnsi="Palatino Linotype"/>
          <w:lang w:val="en-GB"/>
        </w:rPr>
        <w:t>(London and New York: Routledge, 1999): 132.</w:t>
      </w:r>
    </w:p>
  </w:footnote>
  <w:footnote w:id="1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Ryan, </w:t>
      </w:r>
      <w:r w:rsidRPr="006F126F">
        <w:rPr>
          <w:rFonts w:ascii="Palatino Linotype" w:hAnsi="Palatino Linotype"/>
          <w:i/>
          <w:lang w:val="en-GB"/>
        </w:rPr>
        <w:t>Cradle of the Middle Class</w:t>
      </w:r>
      <w:r w:rsidRPr="006F126F">
        <w:rPr>
          <w:rFonts w:ascii="Palatino Linotype" w:hAnsi="Palatino Linotype"/>
          <w:lang w:val="en-GB"/>
        </w:rPr>
        <w:t xml:space="preserve">, 206-210, 31-32; Karin Calvert, </w:t>
      </w:r>
      <w:r w:rsidRPr="006F126F">
        <w:rPr>
          <w:rFonts w:ascii="Palatino Linotype" w:hAnsi="Palatino Linotype"/>
          <w:i/>
          <w:lang w:val="en-GB"/>
        </w:rPr>
        <w:t xml:space="preserve">Children in the House: The Material Culture of Early Childhood, 1600-1900 </w:t>
      </w:r>
      <w:r w:rsidRPr="006F126F">
        <w:rPr>
          <w:rFonts w:ascii="Palatino Linotype" w:hAnsi="Palatino Linotype"/>
          <w:lang w:val="en-GB"/>
        </w:rPr>
        <w:t>(Boston: Northeastern University Press, 1992): 73-74.</w:t>
      </w:r>
    </w:p>
  </w:footnote>
  <w:footnote w:id="1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Geraldine Joncich Clifford, ‘Home and School in 19th Century America: Some Personal-History Reports from the United States’, </w:t>
      </w:r>
      <w:r w:rsidRPr="006F126F">
        <w:rPr>
          <w:rFonts w:ascii="Palatino Linotype" w:hAnsi="Palatino Linotype"/>
          <w:i/>
          <w:lang w:val="en-GB"/>
        </w:rPr>
        <w:t>History of Education Quarterly</w:t>
      </w:r>
      <w:r w:rsidRPr="006F126F">
        <w:rPr>
          <w:rFonts w:ascii="Palatino Linotype" w:hAnsi="Palatino Linotype"/>
          <w:lang w:val="en-GB"/>
        </w:rPr>
        <w:t>, 18:1 (1978): 15.</w:t>
      </w:r>
    </w:p>
  </w:footnote>
  <w:footnote w:id="2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Catharine E. Beecher, </w:t>
      </w:r>
      <w:r w:rsidRPr="006F126F">
        <w:rPr>
          <w:rFonts w:ascii="Palatino Linotype" w:hAnsi="Palatino Linotype"/>
          <w:i/>
          <w:lang w:val="en-GB"/>
        </w:rPr>
        <w:t xml:space="preserve">Treatise on Domestic Economy, For the use of Young Ladies at Home, and at School </w:t>
      </w:r>
      <w:r w:rsidRPr="006F126F">
        <w:rPr>
          <w:rFonts w:ascii="Palatino Linotype" w:hAnsi="Palatino Linotype"/>
          <w:lang w:val="en-GB"/>
        </w:rPr>
        <w:t>(Revised Edition) (New York: Harper and Brothers, Publishers, 1854): 43-</w:t>
      </w:r>
      <w:r>
        <w:rPr>
          <w:rFonts w:ascii="Palatino Linotype" w:hAnsi="Palatino Linotype"/>
          <w:lang w:val="en-GB"/>
        </w:rPr>
        <w:t>4</w:t>
      </w:r>
      <w:r w:rsidRPr="006F126F">
        <w:rPr>
          <w:rFonts w:ascii="Palatino Linotype" w:hAnsi="Palatino Linotype"/>
          <w:lang w:val="en-GB"/>
        </w:rPr>
        <w:t>5.</w:t>
      </w:r>
    </w:p>
  </w:footnote>
  <w:footnote w:id="2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n.s., ‘Sanitary Reform’, </w:t>
      </w:r>
      <w:r w:rsidRPr="006F126F">
        <w:rPr>
          <w:rFonts w:ascii="Palatino Linotype" w:hAnsi="Palatino Linotype"/>
          <w:i/>
          <w:lang w:val="en-GB"/>
        </w:rPr>
        <w:t>The North American Review</w:t>
      </w:r>
      <w:r w:rsidRPr="006F126F">
        <w:rPr>
          <w:rFonts w:ascii="Palatino Linotype" w:hAnsi="Palatino Linotype"/>
          <w:lang w:val="en-GB"/>
        </w:rPr>
        <w:t>, 73:152 (1851)</w:t>
      </w:r>
      <w:r w:rsidRPr="006F126F">
        <w:rPr>
          <w:rFonts w:ascii="Palatino Linotype" w:hAnsi="Palatino Linotype"/>
          <w:b/>
          <w:lang w:val="en-GB"/>
        </w:rPr>
        <w:t>:</w:t>
      </w:r>
      <w:r w:rsidRPr="006F126F">
        <w:rPr>
          <w:rFonts w:ascii="Palatino Linotype" w:hAnsi="Palatino Linotype"/>
          <w:lang w:val="en-GB"/>
        </w:rPr>
        <w:t xml:space="preserve"> 121-122.</w:t>
      </w:r>
    </w:p>
  </w:footnote>
  <w:footnote w:id="2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Rev. James Hughes, ‘Family Religion: No. 154’ (Philadelphia: Presbyterian Board of Publications, n.d.): 6-15.</w:t>
      </w:r>
    </w:p>
  </w:footnote>
  <w:footnote w:id="2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Timothy L. Smith, </w:t>
      </w:r>
      <w:r w:rsidRPr="006F126F">
        <w:rPr>
          <w:rFonts w:ascii="Palatino Linotype" w:hAnsi="Palatino Linotype"/>
          <w:i/>
          <w:lang w:val="en-GB"/>
        </w:rPr>
        <w:t xml:space="preserve">Revivalism and Social Reform: American Protestantism on the Eve of the Civil War </w:t>
      </w:r>
      <w:r w:rsidRPr="006F126F">
        <w:rPr>
          <w:rFonts w:ascii="Palatino Linotype" w:hAnsi="Palatino Linotype"/>
          <w:lang w:val="en-GB"/>
        </w:rPr>
        <w:t xml:space="preserve">(Glouster, MA: Peter Smith, 1976): 63-77; Mary P. Ryan, ‘The Power of Women's Networks: A Case Study of Female Moral Reform in Antebellum America’, </w:t>
      </w:r>
      <w:r w:rsidRPr="006F126F">
        <w:rPr>
          <w:rFonts w:ascii="Palatino Linotype" w:hAnsi="Palatino Linotype"/>
          <w:i/>
          <w:lang w:val="en-GB"/>
        </w:rPr>
        <w:t>Feminist Studies</w:t>
      </w:r>
      <w:r w:rsidRPr="006F126F">
        <w:rPr>
          <w:rFonts w:ascii="Palatino Linotype" w:hAnsi="Palatino Linotype"/>
          <w:lang w:val="en-GB"/>
        </w:rPr>
        <w:t xml:space="preserve">, 5:1(1979), 66-85; Westerkamp, </w:t>
      </w:r>
      <w:r w:rsidRPr="006F126F">
        <w:rPr>
          <w:rFonts w:ascii="Palatino Linotype" w:hAnsi="Palatino Linotype"/>
          <w:i/>
          <w:lang w:val="en-GB"/>
        </w:rPr>
        <w:t>Women and Religion in Early America</w:t>
      </w:r>
      <w:r w:rsidRPr="006F126F">
        <w:rPr>
          <w:rFonts w:ascii="Palatino Linotype" w:hAnsi="Palatino Linotype"/>
          <w:lang w:val="en-GB"/>
        </w:rPr>
        <w:t>: 157-159.</w:t>
      </w:r>
    </w:p>
  </w:footnote>
  <w:footnote w:id="2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Westerkamp, </w:t>
      </w:r>
      <w:r w:rsidRPr="006F126F">
        <w:rPr>
          <w:rFonts w:ascii="Palatino Linotype" w:hAnsi="Palatino Linotype"/>
          <w:i/>
          <w:lang w:val="en-GB"/>
        </w:rPr>
        <w:t>Women and Religion in Early America</w:t>
      </w:r>
      <w:r>
        <w:rPr>
          <w:rFonts w:ascii="Palatino Linotype" w:hAnsi="Palatino Linotype"/>
          <w:lang w:val="en-GB"/>
        </w:rPr>
        <w:t xml:space="preserve">: 157-158; </w:t>
      </w:r>
      <w:r w:rsidRPr="004C5B8C">
        <w:rPr>
          <w:rFonts w:ascii="Palatino Linotype" w:hAnsi="Palatino Linotype"/>
          <w:lang w:val="en-GB"/>
        </w:rPr>
        <w:t>Eli Smith, ‘Letter to Parents’</w:t>
      </w:r>
      <w:r w:rsidRPr="004C5B8C">
        <w:rPr>
          <w:rFonts w:ascii="Palatino Linotype" w:hAnsi="Palatino Linotype"/>
          <w:i/>
          <w:lang w:val="en-GB"/>
        </w:rPr>
        <w:t xml:space="preserve"> </w:t>
      </w:r>
      <w:r w:rsidRPr="004C5B8C">
        <w:rPr>
          <w:rFonts w:ascii="Palatino Linotype" w:hAnsi="Palatino Linotype"/>
          <w:lang w:val="en-GB"/>
        </w:rPr>
        <w:t>(Bennington, [New York], 10 August 1833): YDS: ES Box 1: Folder 6.</w:t>
      </w:r>
    </w:p>
  </w:footnote>
  <w:footnote w:id="2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Ussama Makdisi, ‘Rethinking American Missionaries and Nineteenth-Century Historiography of the Middle East’, in: T. Philipp and C. Schumann (eds.), </w:t>
      </w:r>
      <w:r w:rsidRPr="006F126F">
        <w:rPr>
          <w:rFonts w:ascii="Palatino Linotype" w:hAnsi="Palatino Linotype"/>
          <w:i/>
          <w:lang w:val="en-GB"/>
        </w:rPr>
        <w:t xml:space="preserve">From the Syrian Lands to the States of Syria and Lebanon </w:t>
      </w:r>
      <w:r w:rsidRPr="006F126F">
        <w:rPr>
          <w:rFonts w:ascii="Palatino Linotype" w:hAnsi="Palatino Linotype"/>
          <w:lang w:val="en-GB"/>
        </w:rPr>
        <w:t>(Beirut: Orient-Institute, 2004): 211.</w:t>
      </w:r>
    </w:p>
  </w:footnote>
  <w:footnote w:id="2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Mary Louise Kete, </w:t>
      </w:r>
      <w:r w:rsidRPr="006F126F">
        <w:rPr>
          <w:rFonts w:ascii="Palatino Linotype" w:hAnsi="Palatino Linotype"/>
          <w:i/>
          <w:lang w:val="en-GB"/>
        </w:rPr>
        <w:t xml:space="preserve">Sentimental Collaborations: Mourning and </w:t>
      </w:r>
      <w:r>
        <w:rPr>
          <w:rFonts w:ascii="Palatino Linotype" w:hAnsi="Palatino Linotype"/>
          <w:i/>
          <w:lang w:val="en-GB"/>
        </w:rPr>
        <w:t>Middle class</w:t>
      </w:r>
      <w:r w:rsidRPr="006F126F">
        <w:rPr>
          <w:rFonts w:ascii="Palatino Linotype" w:hAnsi="Palatino Linotype"/>
          <w:i/>
          <w:lang w:val="en-GB"/>
        </w:rPr>
        <w:t xml:space="preserve"> Identity in Nineteenth Century America </w:t>
      </w:r>
      <w:r w:rsidRPr="006F126F">
        <w:rPr>
          <w:rFonts w:ascii="Palatino Linotype" w:hAnsi="Palatino Linotype"/>
          <w:lang w:val="en-GB"/>
        </w:rPr>
        <w:t>(Durham and London: Duke University Press, 2000): 105-112.</w:t>
      </w:r>
    </w:p>
  </w:footnote>
  <w:footnote w:id="2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Sylvester Bliss, </w:t>
      </w:r>
      <w:r w:rsidRPr="006F126F">
        <w:rPr>
          <w:rFonts w:ascii="Palatino Linotype" w:hAnsi="Palatino Linotype"/>
          <w:i/>
          <w:lang w:val="en-GB"/>
        </w:rPr>
        <w:t xml:space="preserve">Analysis of Geography; For the use of Schools, Academics, &amp;c. </w:t>
      </w:r>
      <w:r w:rsidRPr="006F126F">
        <w:rPr>
          <w:rFonts w:ascii="Palatino Linotype" w:hAnsi="Palatino Linotype"/>
          <w:lang w:val="en-GB"/>
        </w:rPr>
        <w:t xml:space="preserve">(Fourth Edition) (Boston: John P. Jewett &amp; Co, 1850): 33, 36-37; Bird, </w:t>
      </w:r>
      <w:r w:rsidRPr="006F126F">
        <w:rPr>
          <w:rFonts w:ascii="Palatino Linotype" w:hAnsi="Palatino Linotype"/>
          <w:i/>
          <w:lang w:val="en-GB"/>
        </w:rPr>
        <w:t>Aspects of Religion</w:t>
      </w:r>
      <w:r w:rsidRPr="006F126F">
        <w:rPr>
          <w:rFonts w:ascii="Palatino Linotype" w:hAnsi="Palatino Linotype"/>
          <w:lang w:val="en-GB"/>
        </w:rPr>
        <w:t xml:space="preserve">: 5-23; Wright in Blau, </w:t>
      </w:r>
      <w:r w:rsidRPr="006F126F">
        <w:rPr>
          <w:rFonts w:ascii="Palatino Linotype" w:hAnsi="Palatino Linotype"/>
          <w:i/>
          <w:lang w:val="en-GB"/>
        </w:rPr>
        <w:t>Social Theories of Jacksonian Democracy</w:t>
      </w:r>
      <w:r w:rsidRPr="006F126F">
        <w:rPr>
          <w:rFonts w:ascii="Palatino Linotype" w:hAnsi="Palatino Linotype"/>
          <w:lang w:val="en-GB"/>
        </w:rPr>
        <w:t>: 282-28.</w:t>
      </w:r>
      <w:r>
        <w:rPr>
          <w:rFonts w:ascii="Palatino Linotype" w:hAnsi="Palatino Linotype"/>
          <w:lang w:val="en-GB"/>
        </w:rPr>
        <w:t xml:space="preserve"> Research on </w:t>
      </w:r>
      <w:r w:rsidRPr="0079244F">
        <w:rPr>
          <w:rFonts w:ascii="Palatino Linotype" w:hAnsi="Palatino Linotype"/>
          <w:lang w:val="en-GB"/>
        </w:rPr>
        <w:t>‘whiteness’ in American culture</w:t>
      </w:r>
      <w:r>
        <w:rPr>
          <w:rFonts w:ascii="Palatino Linotype" w:hAnsi="Palatino Linotype"/>
          <w:lang w:val="en-GB"/>
        </w:rPr>
        <w:t xml:space="preserve"> is presented in</w:t>
      </w:r>
      <w:r w:rsidRPr="0079244F">
        <w:rPr>
          <w:rFonts w:ascii="Palatino Linotype" w:hAnsi="Palatino Linotype"/>
          <w:lang w:val="en-GB"/>
        </w:rPr>
        <w:t xml:space="preserve"> Yiorgos Anagnostou</w:t>
      </w:r>
      <w:r w:rsidRPr="0079244F">
        <w:rPr>
          <w:rFonts w:ascii="Palatino Linotype" w:hAnsi="Palatino Linotype"/>
          <w:i/>
          <w:lang w:val="en-GB"/>
        </w:rPr>
        <w:t>,</w:t>
      </w:r>
      <w:r w:rsidRPr="0079244F">
        <w:rPr>
          <w:rFonts w:ascii="Palatino Linotype" w:hAnsi="Palatino Linotype"/>
          <w:lang w:val="en-GB"/>
        </w:rPr>
        <w:t xml:space="preserve"> ‘Forget the Past, Remember the Ancestors! Modernity, “Whiteness,” American Hellenism, and the Politics of Memory in Early Greek America’, </w:t>
      </w:r>
      <w:r w:rsidRPr="0079244F">
        <w:rPr>
          <w:rFonts w:ascii="Palatino Linotype" w:hAnsi="Palatino Linotype"/>
          <w:i/>
          <w:lang w:val="en-GB"/>
        </w:rPr>
        <w:t>Journal of Modern Greek Studies</w:t>
      </w:r>
      <w:r w:rsidRPr="0079244F">
        <w:rPr>
          <w:rFonts w:ascii="Palatino Linotype" w:hAnsi="Palatino Linotype"/>
          <w:lang w:val="en-GB"/>
        </w:rPr>
        <w:t>, 22: 1</w:t>
      </w:r>
      <w:r w:rsidRPr="0079244F">
        <w:rPr>
          <w:rFonts w:ascii="Palatino Linotype" w:hAnsi="Palatino Linotype"/>
          <w:i/>
          <w:lang w:val="en-GB"/>
        </w:rPr>
        <w:t xml:space="preserve"> </w:t>
      </w:r>
      <w:r w:rsidRPr="0079244F">
        <w:rPr>
          <w:rFonts w:ascii="Palatino Linotype" w:hAnsi="Palatino Linotype"/>
          <w:lang w:val="en-GB"/>
        </w:rPr>
        <w:t xml:space="preserve">(2004): 25-71; Susan M. Ryan, ‘Misgivings: Melville, Race, and the Ambiguities of Benevolence’, </w:t>
      </w:r>
      <w:r w:rsidRPr="0079244F">
        <w:rPr>
          <w:rFonts w:ascii="Palatino Linotype" w:hAnsi="Palatino Linotype"/>
          <w:i/>
          <w:lang w:val="en-GB"/>
        </w:rPr>
        <w:t>American Literary History,</w:t>
      </w:r>
      <w:r w:rsidRPr="0079244F">
        <w:rPr>
          <w:rFonts w:ascii="Palatino Linotype" w:hAnsi="Palatino Linotype"/>
          <w:lang w:val="en-GB"/>
        </w:rPr>
        <w:t xml:space="preserve"> 12: 4 (2000): 685-712.</w:t>
      </w:r>
    </w:p>
  </w:footnote>
  <w:footnote w:id="2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Pr>
          <w:rFonts w:ascii="Palatino Linotype" w:hAnsi="Palatino Linotype"/>
          <w:lang w:val="en-GB"/>
        </w:rPr>
        <w:t xml:space="preserve"> Ryan, ‘Misgivings’: 687; </w:t>
      </w:r>
      <w:r w:rsidRPr="006F126F">
        <w:rPr>
          <w:rFonts w:ascii="Palatino Linotype" w:hAnsi="Palatino Linotype"/>
          <w:lang w:val="en-GB"/>
        </w:rPr>
        <w:t xml:space="preserve">Lisa L. Zagumny and Lydia Miheli Pulsipher, ‘”The Races and Conditions of Men”: Women in Nineteenth-Century Geography School Texts in the United States’, </w:t>
      </w:r>
      <w:r w:rsidRPr="006F126F">
        <w:rPr>
          <w:rFonts w:ascii="Palatino Linotype" w:hAnsi="Palatino Linotype"/>
          <w:i/>
          <w:lang w:val="en-GB"/>
        </w:rPr>
        <w:t xml:space="preserve">Gender Place &amp;Culture </w:t>
      </w:r>
      <w:r w:rsidRPr="006F126F">
        <w:rPr>
          <w:rFonts w:ascii="Palatino Linotype" w:hAnsi="Palatino Linotype"/>
          <w:lang w:val="en-GB"/>
        </w:rPr>
        <w:t>15: 4 (2008): 411-429.</w:t>
      </w:r>
    </w:p>
  </w:footnote>
  <w:footnote w:id="2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Kete, </w:t>
      </w:r>
      <w:r w:rsidRPr="006F126F">
        <w:rPr>
          <w:rFonts w:ascii="Palatino Linotype" w:hAnsi="Palatino Linotype"/>
          <w:i/>
          <w:lang w:val="en-GB"/>
        </w:rPr>
        <w:t>Sentimental</w:t>
      </w:r>
      <w:r w:rsidRPr="006F126F">
        <w:rPr>
          <w:rFonts w:ascii="Palatino Linotype" w:hAnsi="Palatino Linotype"/>
          <w:lang w:val="en-GB"/>
        </w:rPr>
        <w:t xml:space="preserve">: 112. The number of Amerindians during the Antebellum period is difficult to determine, as it was only in 1860 that the US </w:t>
      </w:r>
      <w:r>
        <w:rPr>
          <w:rFonts w:ascii="Palatino Linotype" w:hAnsi="Palatino Linotype"/>
          <w:lang w:val="en-GB"/>
        </w:rPr>
        <w:t>Census</w:t>
      </w:r>
      <w:r w:rsidRPr="006F126F">
        <w:rPr>
          <w:rFonts w:ascii="Palatino Linotype" w:hAnsi="Palatino Linotype"/>
          <w:lang w:val="en-GB"/>
        </w:rPr>
        <w:t xml:space="preserve"> enumerated the group considered</w:t>
      </w:r>
      <w:r>
        <w:rPr>
          <w:rFonts w:ascii="Palatino Linotype" w:hAnsi="Palatino Linotype"/>
          <w:lang w:val="en-GB"/>
        </w:rPr>
        <w:t xml:space="preserve"> as</w:t>
      </w:r>
      <w:r w:rsidRPr="006F126F">
        <w:rPr>
          <w:rFonts w:ascii="Palatino Linotype" w:hAnsi="Palatino Linotype"/>
          <w:lang w:val="en-GB"/>
        </w:rPr>
        <w:t xml:space="preserve"> ‘Civilized Indians’ to be 44,020. Joseph C. Kennedy, </w:t>
      </w:r>
      <w:r w:rsidRPr="006F126F">
        <w:rPr>
          <w:rFonts w:ascii="Palatino Linotype" w:hAnsi="Palatino Linotype"/>
          <w:i/>
          <w:lang w:val="en-GB"/>
        </w:rPr>
        <w:t xml:space="preserve">Population of the United States in 1860; Compiled from the Original Returns of the Eight Census, Under the Direction of the Secretary of the Interior </w:t>
      </w:r>
      <w:r w:rsidRPr="006F126F">
        <w:rPr>
          <w:rFonts w:ascii="Palatino Linotype" w:hAnsi="Palatino Linotype"/>
          <w:lang w:val="en-GB"/>
        </w:rPr>
        <w:t>(Washington: Government Printing Office, 1864): 597-597.</w:t>
      </w:r>
    </w:p>
  </w:footnote>
  <w:footnote w:id="3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Bliss, </w:t>
      </w:r>
      <w:r w:rsidRPr="006F126F">
        <w:rPr>
          <w:rFonts w:ascii="Palatino Linotype" w:hAnsi="Palatino Linotype"/>
          <w:i/>
          <w:lang w:val="en-GB"/>
        </w:rPr>
        <w:t>Analysis of Geography</w:t>
      </w:r>
      <w:r w:rsidRPr="006F126F">
        <w:rPr>
          <w:rFonts w:ascii="Palatino Linotype" w:hAnsi="Palatino Linotype"/>
          <w:lang w:val="en-GB"/>
        </w:rPr>
        <w:t xml:space="preserve">: 33; Blake, </w:t>
      </w:r>
      <w:r w:rsidRPr="006F126F">
        <w:rPr>
          <w:rFonts w:ascii="Palatino Linotype" w:hAnsi="Palatino Linotype"/>
          <w:i/>
          <w:lang w:val="en-GB"/>
        </w:rPr>
        <w:t>American Universal Geography</w:t>
      </w:r>
      <w:r w:rsidRPr="006F126F">
        <w:rPr>
          <w:rFonts w:ascii="Palatino Linotype" w:hAnsi="Palatino Linotype"/>
          <w:lang w:val="en-GB"/>
        </w:rPr>
        <w:t>: 140.</w:t>
      </w:r>
    </w:p>
  </w:footnote>
  <w:footnote w:id="3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Wellington, ‘Moral and Political Chart’ in Bliss, Analysis of Geography: 33.</w:t>
      </w:r>
    </w:p>
  </w:footnote>
  <w:footnote w:id="3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John Marshall, ‘Opinion of the Supreme Court of the United States: Cherokee Nation v. Georgia: 30 US.1’ [1831]; David C. Lipscomb, ‘“Water Leaves No Trail”: Mapping Away the Vanishing American in Cooper’s Leatherstocking Tales’, in: Michie and Thomas, </w:t>
      </w:r>
      <w:r w:rsidRPr="006F126F">
        <w:rPr>
          <w:rFonts w:ascii="Palatino Linotype" w:hAnsi="Palatino Linotype"/>
          <w:i/>
          <w:lang w:val="en-GB"/>
        </w:rPr>
        <w:t>NCG</w:t>
      </w:r>
      <w:r w:rsidRPr="006F126F">
        <w:rPr>
          <w:rFonts w:ascii="Palatino Linotype" w:hAnsi="Palatino Linotype"/>
          <w:lang w:val="en-GB"/>
        </w:rPr>
        <w:t>: 67; Priscilla Wald, ‘Terms of Assimilation: Legislating Subjectivity in the Emerging Nation’, in: A. Kaplan and D.E. Pease</w:t>
      </w:r>
      <w:r>
        <w:rPr>
          <w:rFonts w:ascii="Palatino Linotype" w:hAnsi="Palatino Linotype"/>
          <w:lang w:val="en-GB"/>
        </w:rPr>
        <w:t>,</w:t>
      </w:r>
      <w:r w:rsidRPr="006F126F">
        <w:rPr>
          <w:rFonts w:ascii="Palatino Linotype" w:hAnsi="Palatino Linotype"/>
          <w:i/>
          <w:lang w:val="en-GB"/>
        </w:rPr>
        <w:t xml:space="preserve"> </w:t>
      </w:r>
      <w:r w:rsidRPr="006F126F">
        <w:rPr>
          <w:rFonts w:ascii="Palatino Linotype" w:hAnsi="Palatino Linotype"/>
          <w:lang w:val="en-GB"/>
        </w:rPr>
        <w:t xml:space="preserve">(eds.), </w:t>
      </w:r>
      <w:r w:rsidRPr="006F126F">
        <w:rPr>
          <w:rFonts w:ascii="Palatino Linotype" w:hAnsi="Palatino Linotype"/>
          <w:i/>
          <w:lang w:val="en-GB"/>
        </w:rPr>
        <w:t xml:space="preserve">Cultures of United States Imperialism </w:t>
      </w:r>
      <w:r w:rsidRPr="006F126F">
        <w:rPr>
          <w:rFonts w:ascii="Palatino Linotype" w:hAnsi="Palatino Linotype"/>
          <w:lang w:val="en-GB"/>
        </w:rPr>
        <w:t>(Durham, NC: Duke University Press, 1993): 61-68</w:t>
      </w:r>
    </w:p>
  </w:footnote>
  <w:footnote w:id="3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Hooker, </w:t>
      </w:r>
      <w:r w:rsidRPr="006F126F">
        <w:rPr>
          <w:rFonts w:ascii="Palatino Linotype" w:hAnsi="Palatino Linotype"/>
          <w:i/>
          <w:lang w:val="en-GB"/>
        </w:rPr>
        <w:t>MSLS</w:t>
      </w:r>
      <w:r w:rsidRPr="006F126F">
        <w:rPr>
          <w:rFonts w:ascii="Palatino Linotype" w:hAnsi="Palatino Linotype"/>
          <w:lang w:val="en-GB"/>
        </w:rPr>
        <w:t>: 40.</w:t>
      </w:r>
    </w:p>
  </w:footnote>
  <w:footnote w:id="3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Tracey, ‘HABCFM’: 25; Hooker, </w:t>
      </w:r>
      <w:r w:rsidRPr="006F126F">
        <w:rPr>
          <w:rFonts w:ascii="Palatino Linotype" w:hAnsi="Palatino Linotype"/>
          <w:i/>
          <w:lang w:val="en-GB"/>
        </w:rPr>
        <w:t>MSLS</w:t>
      </w:r>
      <w:r w:rsidRPr="006F126F">
        <w:rPr>
          <w:rFonts w:ascii="Palatino Linotype" w:hAnsi="Palatino Linotype"/>
          <w:lang w:val="en-GB"/>
        </w:rPr>
        <w:t>: 40-50; Sarah Smith, ‘Letter to Rebecca Williams’ (Beirut, 13 May 1834): HHL</w:t>
      </w:r>
      <w:r>
        <w:rPr>
          <w:rFonts w:ascii="Palatino Linotype" w:hAnsi="Palatino Linotype"/>
          <w:lang w:val="en-GB"/>
        </w:rPr>
        <w:t>: ABC 60</w:t>
      </w:r>
      <w:r w:rsidRPr="006F126F">
        <w:rPr>
          <w:rFonts w:ascii="Palatino Linotype" w:hAnsi="Palatino Linotype"/>
          <w:lang w:val="en-GB"/>
        </w:rPr>
        <w:t xml:space="preserve"> </w:t>
      </w:r>
      <w:r>
        <w:rPr>
          <w:rFonts w:ascii="Palatino Linotype" w:hAnsi="Palatino Linotype"/>
          <w:lang w:val="en-GB"/>
        </w:rPr>
        <w:t>(</w:t>
      </w:r>
      <w:r w:rsidRPr="006F126F">
        <w:rPr>
          <w:rFonts w:ascii="Palatino Linotype" w:hAnsi="Palatino Linotype"/>
          <w:lang w:val="en-GB"/>
        </w:rPr>
        <w:t>110</w:t>
      </w:r>
      <w:r>
        <w:rPr>
          <w:rFonts w:ascii="Palatino Linotype" w:hAnsi="Palatino Linotype"/>
          <w:lang w:val="en-GB"/>
        </w:rPr>
        <w:t>)</w:t>
      </w:r>
      <w:r w:rsidRPr="006F126F">
        <w:rPr>
          <w:rFonts w:ascii="Palatino Linotype" w:hAnsi="Palatino Linotype"/>
          <w:lang w:val="en-GB"/>
        </w:rPr>
        <w:t>.</w:t>
      </w:r>
    </w:p>
  </w:footnote>
  <w:footnote w:id="3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Duncan Faherty ‘“A Condition Perpetuated in America”: Race, Benevolence and Antebellum Culture’, </w:t>
      </w:r>
      <w:r w:rsidRPr="006F126F">
        <w:rPr>
          <w:rFonts w:ascii="Palatino Linotype" w:hAnsi="Palatino Linotype"/>
          <w:i/>
          <w:lang w:val="en-GB"/>
        </w:rPr>
        <w:t xml:space="preserve">Reviews in American History, </w:t>
      </w:r>
      <w:r w:rsidRPr="006F126F">
        <w:rPr>
          <w:rFonts w:ascii="Palatino Linotype" w:hAnsi="Palatino Linotype"/>
          <w:lang w:val="en-GB"/>
        </w:rPr>
        <w:t>32:1 (2004): 29, 32.</w:t>
      </w:r>
    </w:p>
  </w:footnote>
  <w:footnote w:id="3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This pertains to the marriages between John Ridge and Sarah Northrop and Elias Boudinot and Harriett Gold. In both cases, the men were graduates of the ABCFM’s Foreign Mission School who converted to Christianity, while the women were from </w:t>
      </w:r>
      <w:r>
        <w:rPr>
          <w:rFonts w:ascii="Palatino Linotype" w:hAnsi="Palatino Linotype"/>
          <w:lang w:val="en-GB"/>
        </w:rPr>
        <w:t>middle class</w:t>
      </w:r>
      <w:r w:rsidRPr="006F126F">
        <w:rPr>
          <w:rFonts w:ascii="Palatino Linotype" w:hAnsi="Palatino Linotype"/>
          <w:lang w:val="en-GB"/>
        </w:rPr>
        <w:t xml:space="preserve">, white families. For more on these marriages and how the white community’s negative reception and a collection of the couple’s reaction see Joel Spring, </w:t>
      </w:r>
      <w:r w:rsidRPr="006F126F">
        <w:rPr>
          <w:rFonts w:ascii="Palatino Linotype" w:hAnsi="Palatino Linotype"/>
          <w:i/>
          <w:lang w:val="en-GB"/>
        </w:rPr>
        <w:t xml:space="preserve">The Cultural Transformation of a Native American Family and Its Tribe: 1763-1995: A Basket of Apples </w:t>
      </w:r>
      <w:r w:rsidRPr="006F126F">
        <w:rPr>
          <w:rFonts w:ascii="Palatino Linotype" w:hAnsi="Palatino Linotype"/>
          <w:lang w:val="en-GB"/>
        </w:rPr>
        <w:t xml:space="preserve">(Mahwah, New Jersey: Lawrence Erlbaum Associates, 1996): 52-55; Makdisi, </w:t>
      </w:r>
      <w:r w:rsidRPr="006F126F">
        <w:rPr>
          <w:rFonts w:ascii="Palatino Linotype" w:hAnsi="Palatino Linotype"/>
          <w:i/>
          <w:lang w:val="en-GB"/>
        </w:rPr>
        <w:t>Artillery of Heaven</w:t>
      </w:r>
      <w:r w:rsidRPr="006F126F">
        <w:rPr>
          <w:rFonts w:ascii="Palatino Linotype" w:hAnsi="Palatino Linotype"/>
          <w:lang w:val="en-GB"/>
        </w:rPr>
        <w:t>: 145; Theresa Strouth Gaul</w:t>
      </w:r>
      <w:r w:rsidRPr="006F126F">
        <w:rPr>
          <w:rFonts w:ascii="Palatino Linotype" w:hAnsi="Palatino Linotype"/>
          <w:i/>
          <w:lang w:val="en-GB"/>
        </w:rPr>
        <w:t xml:space="preserve"> </w:t>
      </w:r>
      <w:r w:rsidRPr="006F126F">
        <w:rPr>
          <w:rFonts w:ascii="Palatino Linotype" w:hAnsi="Palatino Linotype"/>
          <w:lang w:val="en-GB"/>
        </w:rPr>
        <w:t xml:space="preserve">(ed.), </w:t>
      </w:r>
      <w:r w:rsidRPr="006F126F">
        <w:rPr>
          <w:rFonts w:ascii="Palatino Linotype" w:hAnsi="Palatino Linotype"/>
          <w:i/>
          <w:lang w:val="en-GB"/>
        </w:rPr>
        <w:t>To Ma</w:t>
      </w:r>
      <w:r>
        <w:rPr>
          <w:rFonts w:ascii="Palatino Linotype" w:hAnsi="Palatino Linotype"/>
          <w:i/>
          <w:lang w:val="en-GB"/>
        </w:rPr>
        <w:t>r</w:t>
      </w:r>
      <w:r w:rsidRPr="006F126F">
        <w:rPr>
          <w:rFonts w:ascii="Palatino Linotype" w:hAnsi="Palatino Linotype"/>
          <w:i/>
          <w:lang w:val="en-GB"/>
        </w:rPr>
        <w:t xml:space="preserve">ry an Indian: The Marriage of Harriett Gold and Elias Boudinot in Letters, 1823-1839 </w:t>
      </w:r>
      <w:r w:rsidRPr="006F126F">
        <w:rPr>
          <w:rFonts w:ascii="Palatino Linotype" w:hAnsi="Palatino Linotype"/>
          <w:lang w:val="en-GB"/>
        </w:rPr>
        <w:t>(Chapel Hill: University of North Carolina Press, 2005).</w:t>
      </w:r>
    </w:p>
  </w:footnote>
  <w:footnote w:id="3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This number includes slave and free African Americans. Kennedy, </w:t>
      </w:r>
      <w:r w:rsidRPr="006F126F">
        <w:rPr>
          <w:rFonts w:ascii="Palatino Linotype" w:hAnsi="Palatino Linotype"/>
          <w:i/>
          <w:lang w:val="en-GB"/>
        </w:rPr>
        <w:t>Population of the United States in 1860</w:t>
      </w:r>
      <w:r w:rsidRPr="006F126F">
        <w:rPr>
          <w:rFonts w:ascii="Palatino Linotype" w:hAnsi="Palatino Linotype"/>
          <w:lang w:val="en-GB"/>
        </w:rPr>
        <w:t>: 597.</w:t>
      </w:r>
    </w:p>
  </w:footnote>
  <w:footnote w:id="3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Amos A. Phelps, </w:t>
      </w:r>
      <w:r w:rsidRPr="006F126F">
        <w:rPr>
          <w:rFonts w:ascii="Palatino Linotype" w:hAnsi="Palatino Linotype"/>
          <w:i/>
          <w:lang w:val="en-GB"/>
        </w:rPr>
        <w:t xml:space="preserve">Letters to Professor Stowe and Dr. Bacon on God’s Real Method with Great Social Wrongs in Which the Bible is Vindicated From Grossly Erroneous Interpretations </w:t>
      </w:r>
      <w:r w:rsidRPr="006F126F">
        <w:rPr>
          <w:rFonts w:ascii="Palatino Linotype" w:hAnsi="Palatino Linotype"/>
          <w:lang w:val="en-GB"/>
        </w:rPr>
        <w:t xml:space="preserve">(New York: W. M. Harned, 1848): 12, 14; </w:t>
      </w:r>
      <w:r w:rsidRPr="006F126F">
        <w:rPr>
          <w:rFonts w:ascii="Palatino Linotype" w:hAnsi="Palatino Linotype"/>
          <w:i/>
          <w:lang w:val="en-GB"/>
        </w:rPr>
        <w:t>MH</w:t>
      </w:r>
      <w:r w:rsidRPr="006F126F">
        <w:rPr>
          <w:rFonts w:ascii="Palatino Linotype" w:hAnsi="Palatino Linotype"/>
          <w:lang w:val="en-GB"/>
        </w:rPr>
        <w:t xml:space="preserve"> (1842): 424-425.</w:t>
      </w:r>
    </w:p>
  </w:footnote>
  <w:footnote w:id="3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Feller, </w:t>
      </w:r>
      <w:r w:rsidRPr="006F126F">
        <w:rPr>
          <w:rFonts w:ascii="Palatino Linotype" w:hAnsi="Palatino Linotype"/>
          <w:i/>
          <w:lang w:val="en-GB"/>
        </w:rPr>
        <w:t>The Jacksonian Promise</w:t>
      </w:r>
      <w:r w:rsidRPr="006F126F">
        <w:rPr>
          <w:rFonts w:ascii="Palatino Linotype" w:hAnsi="Palatino Linotype"/>
          <w:lang w:val="en-GB"/>
        </w:rPr>
        <w:t>: 64-65.</w:t>
      </w:r>
    </w:p>
  </w:footnote>
  <w:footnote w:id="4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Roger B. Taney, ‘Opinion of the Supreme Court of the United States: Scott v. Sandford: 60 U.S. 393’, [1856], </w:t>
      </w:r>
      <w:r w:rsidRPr="006F126F">
        <w:rPr>
          <w:rFonts w:ascii="Palatino Linotype" w:hAnsi="Palatino Linotype"/>
          <w:i/>
          <w:lang w:val="en-GB"/>
        </w:rPr>
        <w:t>Legal Information Institute, Cornell Law School</w:t>
      </w:r>
      <w:r w:rsidRPr="006F126F">
        <w:rPr>
          <w:rFonts w:ascii="Palatino Linotype" w:hAnsi="Palatino Linotype"/>
          <w:lang w:val="en-GB"/>
        </w:rPr>
        <w:t>.</w:t>
      </w:r>
    </w:p>
  </w:footnote>
  <w:footnote w:id="4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Mary Niall Mitchell, ‘“Rosebloom and Pure White,” Or So It Seemed’, </w:t>
      </w:r>
      <w:r w:rsidRPr="006F126F">
        <w:rPr>
          <w:rFonts w:ascii="Palatino Linotype" w:hAnsi="Palatino Linotype"/>
          <w:i/>
          <w:lang w:val="en-GB"/>
        </w:rPr>
        <w:t>American Quarterly</w:t>
      </w:r>
      <w:r w:rsidRPr="006F126F">
        <w:rPr>
          <w:rFonts w:ascii="Palatino Linotype" w:hAnsi="Palatino Linotype"/>
          <w:lang w:val="en-GB"/>
        </w:rPr>
        <w:t xml:space="preserve"> 54: 3 (2002): 369-410. </w:t>
      </w:r>
    </w:p>
  </w:footnote>
  <w:footnote w:id="4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Kennedy, </w:t>
      </w:r>
      <w:r w:rsidRPr="006F126F">
        <w:rPr>
          <w:rFonts w:ascii="Palatino Linotype" w:hAnsi="Palatino Linotype"/>
          <w:i/>
          <w:lang w:val="en-GB"/>
        </w:rPr>
        <w:t>Population of the United States in 1860</w:t>
      </w:r>
      <w:r w:rsidRPr="006F126F">
        <w:rPr>
          <w:rFonts w:ascii="Palatino Linotype" w:hAnsi="Palatino Linotype"/>
          <w:lang w:val="en-GB"/>
        </w:rPr>
        <w:t>: xxxi.</w:t>
      </w:r>
    </w:p>
  </w:footnote>
  <w:footnote w:id="4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Emphasis added. Beecher ‘Plea for the West’: 69-70. Also see John B. Perry, ‘Full and Complete Account of the Late Awful Riots in Philadelphia’, </w:t>
      </w:r>
      <w:r w:rsidRPr="006F126F">
        <w:rPr>
          <w:rFonts w:ascii="Palatino Linotype" w:hAnsi="Palatino Linotype"/>
          <w:i/>
          <w:lang w:val="en-GB"/>
        </w:rPr>
        <w:t xml:space="preserve">The Historical Society of Pennsylvania </w:t>
      </w:r>
      <w:r w:rsidRPr="006F126F">
        <w:rPr>
          <w:rFonts w:ascii="Palatino Linotype" w:hAnsi="Palatino Linotype"/>
          <w:lang w:val="en-GB"/>
        </w:rPr>
        <w:t>(1844): 4.</w:t>
      </w:r>
    </w:p>
  </w:footnote>
  <w:footnote w:id="4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n.s., ‘The Sons of the Sires; A History of the Rise, Progress, and Destiny of the American party, and Its Probable Influence on the Next Presidential Election’</w:t>
      </w:r>
      <w:r w:rsidRPr="006F126F">
        <w:rPr>
          <w:rFonts w:ascii="Palatino Linotype" w:hAnsi="Palatino Linotype"/>
          <w:i/>
          <w:lang w:val="en-GB"/>
        </w:rPr>
        <w:t xml:space="preserve"> </w:t>
      </w:r>
      <w:r w:rsidRPr="006F126F">
        <w:rPr>
          <w:rFonts w:ascii="Palatino Linotype" w:hAnsi="Palatino Linotype"/>
          <w:lang w:val="en-GB"/>
        </w:rPr>
        <w:t>(Philadelphia: Lippincott, Grambo &amp; Co., 1855): v.</w:t>
      </w:r>
    </w:p>
  </w:footnote>
  <w:footnote w:id="4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n.s. ‘Sanitary Reform’: 122.</w:t>
      </w:r>
    </w:p>
  </w:footnote>
  <w:footnote w:id="4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Pr>
          <w:rFonts w:ascii="Palatino Linotype" w:hAnsi="Palatino Linotype"/>
          <w:lang w:val="en-GB"/>
        </w:rPr>
        <w:t xml:space="preserve">cited in </w:t>
      </w:r>
      <w:r w:rsidRPr="006F126F">
        <w:rPr>
          <w:rFonts w:ascii="Palatino Linotype" w:hAnsi="Palatino Linotype"/>
          <w:lang w:val="en-GB"/>
        </w:rPr>
        <w:t>Jensen, ‘Butter Making’: 823</w:t>
      </w:r>
      <w:r>
        <w:rPr>
          <w:rFonts w:ascii="Palatino Linotype" w:hAnsi="Palatino Linotype"/>
          <w:lang w:val="en-GB"/>
        </w:rPr>
        <w:t>.</w:t>
      </w:r>
    </w:p>
  </w:footnote>
  <w:footnote w:id="4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Henrietta Smith, ‘Letter to Sister’</w:t>
      </w:r>
      <w:r w:rsidRPr="006F126F">
        <w:rPr>
          <w:rFonts w:ascii="Palatino Linotype" w:hAnsi="Palatino Linotype"/>
          <w:i/>
          <w:lang w:val="en-GB"/>
        </w:rPr>
        <w:t xml:space="preserve"> </w:t>
      </w:r>
      <w:r w:rsidRPr="006F126F">
        <w:rPr>
          <w:rFonts w:ascii="Palatino Linotype" w:hAnsi="Palatino Linotype"/>
          <w:lang w:val="en-GB"/>
        </w:rPr>
        <w:t>(Bhamdoun, 4 September 1852): YDS: ES Box 1: Folder 22</w:t>
      </w:r>
    </w:p>
  </w:footnote>
  <w:footnote w:id="4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The Anglican Church also suffered from its perceived association with the British, which prompted a change of name, to the Protestant Episcopal Church, in 1783.</w:t>
      </w:r>
    </w:p>
  </w:footnote>
  <w:footnote w:id="4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Glenn T. Miller, </w:t>
      </w:r>
      <w:r w:rsidRPr="006F126F">
        <w:rPr>
          <w:rFonts w:ascii="Palatino Linotype" w:hAnsi="Palatino Linotype"/>
          <w:i/>
          <w:lang w:val="en-GB"/>
        </w:rPr>
        <w:t xml:space="preserve">Piety and Intellect: The Aims and Purposes of Ante-Bellum Theological Education </w:t>
      </w:r>
      <w:r w:rsidRPr="006F126F">
        <w:rPr>
          <w:rFonts w:ascii="Palatino Linotype" w:hAnsi="Palatino Linotype"/>
          <w:lang w:val="en-GB"/>
        </w:rPr>
        <w:t xml:space="preserve">(Atlanta, Georgia: Scholars Press, 1990): 86; James H. Moorhead, ‘The “Restless Spirit of Radicalism”: Old School Fears and the Schism of 1837: Exploring a Time When Extreme Passions Led to the Rupture of American Presbyterianism’, </w:t>
      </w:r>
      <w:r w:rsidRPr="006F126F">
        <w:rPr>
          <w:rFonts w:ascii="Palatino Linotype" w:hAnsi="Palatino Linotype"/>
          <w:i/>
          <w:lang w:val="en-GB"/>
        </w:rPr>
        <w:t>Journal of Presbyterian History,</w:t>
      </w:r>
      <w:r w:rsidRPr="006F126F">
        <w:rPr>
          <w:rFonts w:ascii="Palatino Linotype" w:hAnsi="Palatino Linotype"/>
          <w:lang w:val="en-GB"/>
        </w:rPr>
        <w:t xml:space="preserve"> 78:1 (2000): 20-22.</w:t>
      </w:r>
    </w:p>
  </w:footnote>
  <w:footnote w:id="5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Bird, </w:t>
      </w:r>
      <w:r w:rsidRPr="006F126F">
        <w:rPr>
          <w:rFonts w:ascii="Palatino Linotype" w:hAnsi="Palatino Linotype"/>
          <w:i/>
          <w:lang w:val="en-GB"/>
        </w:rPr>
        <w:t>Aspects of Religion</w:t>
      </w:r>
      <w:r w:rsidRPr="006F126F">
        <w:rPr>
          <w:rFonts w:ascii="Palatino Linotype" w:hAnsi="Palatino Linotype"/>
          <w:lang w:val="en-GB"/>
        </w:rPr>
        <w:t xml:space="preserve">: 38; Miller, </w:t>
      </w:r>
      <w:r w:rsidRPr="006F126F">
        <w:rPr>
          <w:rFonts w:ascii="Palatino Linotype" w:hAnsi="Palatino Linotype"/>
          <w:i/>
          <w:lang w:val="en-GB"/>
        </w:rPr>
        <w:t>Piety and Intellect:</w:t>
      </w:r>
      <w:r w:rsidRPr="006F126F">
        <w:rPr>
          <w:rFonts w:ascii="Palatino Linotype" w:hAnsi="Palatino Linotype"/>
          <w:lang w:val="en-GB"/>
        </w:rPr>
        <w:t xml:space="preserve"> 416.</w:t>
      </w:r>
    </w:p>
  </w:footnote>
  <w:footnote w:id="5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The ABCFM was a joint venture amongst the Presbyterian, Congregational and Dutch Reform Churches, although the Dutch Reform influence was marginal.</w:t>
      </w:r>
    </w:p>
  </w:footnote>
  <w:footnote w:id="5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James H. Moorhead, ‘Between Progress and Apocalypse: A Reassessment of Millennialism in American Religious Thought, 1800-1880’, </w:t>
      </w:r>
      <w:r w:rsidRPr="006F126F">
        <w:rPr>
          <w:rFonts w:ascii="Palatino Linotype" w:hAnsi="Palatino Linotype"/>
          <w:i/>
          <w:lang w:val="en-GB"/>
        </w:rPr>
        <w:t>The Journal of American History</w:t>
      </w:r>
      <w:r w:rsidRPr="006F126F">
        <w:rPr>
          <w:rFonts w:ascii="Palatino Linotype" w:hAnsi="Palatino Linotype"/>
          <w:lang w:val="en-GB"/>
        </w:rPr>
        <w:t xml:space="preserve">, 71: 3 (1984): 530-531; Bird, </w:t>
      </w:r>
      <w:r w:rsidRPr="006F126F">
        <w:rPr>
          <w:rFonts w:ascii="Palatino Linotype" w:hAnsi="Palatino Linotype"/>
          <w:i/>
          <w:lang w:val="en-GB"/>
        </w:rPr>
        <w:t>Aspects of Religion</w:t>
      </w:r>
      <w:r w:rsidRPr="006F126F">
        <w:rPr>
          <w:rFonts w:ascii="Palatino Linotype" w:hAnsi="Palatino Linotype"/>
          <w:lang w:val="en-GB"/>
        </w:rPr>
        <w:t>: 38.</w:t>
      </w:r>
    </w:p>
  </w:footnote>
  <w:footnote w:id="53">
    <w:p w:rsidR="008A3BC5" w:rsidRPr="006F126F" w:rsidRDefault="008A3BC5" w:rsidP="001761FF">
      <w:pPr>
        <w:pStyle w:val="FootnoteText"/>
        <w:tabs>
          <w:tab w:val="left" w:pos="6670"/>
        </w:tabs>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Miller, </w:t>
      </w:r>
      <w:r w:rsidRPr="006F126F">
        <w:rPr>
          <w:rFonts w:ascii="Palatino Linotype" w:hAnsi="Palatino Linotype"/>
          <w:i/>
          <w:lang w:val="en-GB"/>
        </w:rPr>
        <w:t>Piety and Intellect</w:t>
      </w:r>
      <w:r w:rsidRPr="006F126F">
        <w:rPr>
          <w:rFonts w:ascii="Palatino Linotype" w:hAnsi="Palatino Linotype"/>
          <w:lang w:val="en-GB"/>
        </w:rPr>
        <w:t xml:space="preserve">: 416-417; Feller, </w:t>
      </w:r>
      <w:r w:rsidRPr="006F126F">
        <w:rPr>
          <w:rFonts w:ascii="Palatino Linotype" w:hAnsi="Palatino Linotype"/>
          <w:i/>
          <w:lang w:val="en-GB"/>
        </w:rPr>
        <w:t>The Jacksonian Promise</w:t>
      </w:r>
      <w:r w:rsidRPr="006F126F">
        <w:rPr>
          <w:rFonts w:ascii="Palatino Linotype" w:hAnsi="Palatino Linotype"/>
          <w:lang w:val="en-GB"/>
        </w:rPr>
        <w:t>: 96.</w:t>
      </w:r>
      <w:r w:rsidRPr="006F126F">
        <w:rPr>
          <w:rFonts w:ascii="Palatino Linotype" w:hAnsi="Palatino Linotype"/>
          <w:lang w:val="en-GB"/>
        </w:rPr>
        <w:tab/>
      </w:r>
    </w:p>
  </w:footnote>
  <w:footnote w:id="5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Bird, </w:t>
      </w:r>
      <w:r w:rsidRPr="006F126F">
        <w:rPr>
          <w:rFonts w:ascii="Palatino Linotype" w:hAnsi="Palatino Linotype"/>
          <w:i/>
          <w:lang w:val="en-GB"/>
        </w:rPr>
        <w:t>Aspects of Religion</w:t>
      </w:r>
      <w:r w:rsidRPr="006F126F">
        <w:rPr>
          <w:rFonts w:ascii="Palatino Linotype" w:hAnsi="Palatino Linotype"/>
          <w:lang w:val="en-GB"/>
        </w:rPr>
        <w:t xml:space="preserve">: 45-46; Askew and Spellman, </w:t>
      </w:r>
      <w:r w:rsidRPr="006F126F">
        <w:rPr>
          <w:rFonts w:ascii="Palatino Linotype" w:hAnsi="Palatino Linotype"/>
          <w:i/>
          <w:lang w:val="en-GB"/>
        </w:rPr>
        <w:t>The Churches and the American Experience</w:t>
      </w:r>
      <w:r w:rsidRPr="006F126F">
        <w:rPr>
          <w:rFonts w:ascii="Palatino Linotype" w:hAnsi="Palatino Linotype"/>
          <w:lang w:val="en-GB"/>
        </w:rPr>
        <w:t>: 120-121.</w:t>
      </w:r>
    </w:p>
  </w:footnote>
  <w:footnote w:id="5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Askew and Spellman, </w:t>
      </w:r>
      <w:r w:rsidRPr="006F126F">
        <w:rPr>
          <w:rFonts w:ascii="Palatino Linotype" w:hAnsi="Palatino Linotype"/>
          <w:i/>
          <w:lang w:val="en-GB"/>
        </w:rPr>
        <w:t>The Churches and the American Experience</w:t>
      </w:r>
      <w:r w:rsidRPr="006F126F">
        <w:rPr>
          <w:rFonts w:ascii="Palatino Linotype" w:hAnsi="Palatino Linotype"/>
          <w:lang w:val="en-GB"/>
        </w:rPr>
        <w:t xml:space="preserve">: 44; Miller, </w:t>
      </w:r>
      <w:r w:rsidRPr="006F126F">
        <w:rPr>
          <w:rFonts w:ascii="Palatino Linotype" w:hAnsi="Palatino Linotype"/>
          <w:i/>
          <w:lang w:val="en-GB"/>
        </w:rPr>
        <w:t>Piety and Intellect</w:t>
      </w:r>
      <w:r w:rsidRPr="006F126F">
        <w:rPr>
          <w:rFonts w:ascii="Palatino Linotype" w:hAnsi="Palatino Linotype"/>
          <w:lang w:val="en-GB"/>
        </w:rPr>
        <w:t>: 162-163.</w:t>
      </w:r>
    </w:p>
  </w:footnote>
  <w:footnote w:id="5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Miller, </w:t>
      </w:r>
      <w:r w:rsidRPr="006F126F">
        <w:rPr>
          <w:rFonts w:ascii="Palatino Linotype" w:hAnsi="Palatino Linotype"/>
          <w:i/>
          <w:lang w:val="en-GB"/>
        </w:rPr>
        <w:t>Piety and Intellect</w:t>
      </w:r>
      <w:r w:rsidRPr="006F126F">
        <w:rPr>
          <w:rFonts w:ascii="Palatino Linotype" w:hAnsi="Palatino Linotype"/>
          <w:lang w:val="en-GB"/>
        </w:rPr>
        <w:t>: 170, 318.</w:t>
      </w:r>
    </w:p>
  </w:footnote>
  <w:footnote w:id="5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Bird, </w:t>
      </w:r>
      <w:r w:rsidRPr="006F126F">
        <w:rPr>
          <w:rFonts w:ascii="Palatino Linotype" w:hAnsi="Palatino Linotype"/>
          <w:i/>
          <w:lang w:val="en-GB"/>
        </w:rPr>
        <w:t>Aspects of Religion</w:t>
      </w:r>
      <w:r w:rsidRPr="006F126F">
        <w:rPr>
          <w:rFonts w:ascii="Palatino Linotype" w:hAnsi="Palatino Linotype"/>
          <w:lang w:val="en-GB"/>
        </w:rPr>
        <w:t>: 42-45.</w:t>
      </w:r>
    </w:p>
  </w:footnote>
  <w:footnote w:id="5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Kenneth Moss, ‘St. Patrick’s Day Celebrations and the Formation of Irish-American Identity, 1845-1875’, </w:t>
      </w:r>
      <w:r w:rsidRPr="006F126F">
        <w:rPr>
          <w:rFonts w:ascii="Palatino Linotype" w:hAnsi="Palatino Linotype"/>
          <w:i/>
          <w:lang w:val="en-GB"/>
        </w:rPr>
        <w:t>Journal of Social History</w:t>
      </w:r>
      <w:r>
        <w:rPr>
          <w:rFonts w:ascii="Palatino Linotype" w:hAnsi="Palatino Linotype"/>
          <w:lang w:val="en-GB"/>
        </w:rPr>
        <w:t xml:space="preserve">, 29: 1 (1995): 126 </w:t>
      </w:r>
      <w:r w:rsidRPr="00323816">
        <w:rPr>
          <w:rFonts w:ascii="Palatino Linotype" w:hAnsi="Palatino Linotype"/>
          <w:lang w:val="en-GB"/>
        </w:rPr>
        <w:t xml:space="preserve">Colleen McDannell, </w:t>
      </w:r>
      <w:r w:rsidRPr="00323816">
        <w:rPr>
          <w:rFonts w:ascii="Palatino Linotype" w:hAnsi="Palatino Linotype"/>
          <w:i/>
          <w:lang w:val="en-GB"/>
        </w:rPr>
        <w:t xml:space="preserve">The Christian Home in Victorian America, 1840-1900 </w:t>
      </w:r>
      <w:r w:rsidRPr="00323816">
        <w:rPr>
          <w:rFonts w:ascii="Palatino Linotype" w:hAnsi="Palatino Linotype"/>
          <w:lang w:val="en-GB"/>
        </w:rPr>
        <w:t xml:space="preserve">(Bloomington: Indiana University Press, 1986): 13; Feller, </w:t>
      </w:r>
      <w:r w:rsidRPr="00323816">
        <w:rPr>
          <w:rFonts w:ascii="Palatino Linotype" w:hAnsi="Palatino Linotype"/>
          <w:i/>
          <w:lang w:val="en-GB"/>
        </w:rPr>
        <w:t>The Jacksonian Promise</w:t>
      </w:r>
      <w:r w:rsidRPr="00323816">
        <w:rPr>
          <w:rFonts w:ascii="Palatino Linotype" w:hAnsi="Palatino Linotype"/>
          <w:lang w:val="en-GB"/>
        </w:rPr>
        <w:t>: 115.</w:t>
      </w:r>
    </w:p>
  </w:footnote>
  <w:footnote w:id="5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Moss, ‘St. Patrick’s Day Celebrations’: 125-146.</w:t>
      </w:r>
    </w:p>
  </w:footnote>
  <w:footnote w:id="6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Henry J. Browne, ‘Catholicism in the United States’, in: J. Smith and A. Jamison</w:t>
      </w:r>
      <w:r w:rsidRPr="006F126F">
        <w:rPr>
          <w:rFonts w:ascii="Palatino Linotype" w:hAnsi="Palatino Linotype"/>
          <w:i/>
          <w:lang w:val="en-GB"/>
        </w:rPr>
        <w:t xml:space="preserve"> </w:t>
      </w:r>
      <w:r w:rsidRPr="006F126F">
        <w:rPr>
          <w:rFonts w:ascii="Palatino Linotype" w:hAnsi="Palatino Linotype"/>
          <w:lang w:val="en-GB"/>
        </w:rPr>
        <w:t>(eds.),</w:t>
      </w:r>
      <w:r w:rsidRPr="006F126F">
        <w:rPr>
          <w:rFonts w:ascii="Palatino Linotype" w:hAnsi="Palatino Linotype"/>
          <w:i/>
          <w:lang w:val="en-GB"/>
        </w:rPr>
        <w:t xml:space="preserve"> The Shaping of American Religion: Volume I: Religion in American Life </w:t>
      </w:r>
      <w:r w:rsidRPr="006F126F">
        <w:rPr>
          <w:rFonts w:ascii="Palatino Linotype" w:hAnsi="Palatino Linotype"/>
          <w:lang w:val="en-GB"/>
        </w:rPr>
        <w:t>(Princeton, New Jersey: Princeton University Press, 1961): 84.</w:t>
      </w:r>
    </w:p>
  </w:footnote>
  <w:footnote w:id="6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Lyman Beecher, ‘The Autobiography of Lyman Beecher’, [n.d.], in: B. Cross</w:t>
      </w:r>
      <w:r w:rsidRPr="006F126F">
        <w:rPr>
          <w:rFonts w:ascii="Palatino Linotype" w:hAnsi="Palatino Linotype"/>
          <w:i/>
          <w:lang w:val="en-GB"/>
        </w:rPr>
        <w:t xml:space="preserve"> </w:t>
      </w:r>
      <w:r w:rsidRPr="006F126F">
        <w:rPr>
          <w:rFonts w:ascii="Palatino Linotype" w:hAnsi="Palatino Linotype"/>
          <w:lang w:val="en-GB"/>
        </w:rPr>
        <w:t xml:space="preserve">(ed.), </w:t>
      </w:r>
      <w:r w:rsidRPr="006F126F">
        <w:rPr>
          <w:rFonts w:ascii="Palatino Linotype" w:hAnsi="Palatino Linotype"/>
          <w:i/>
          <w:lang w:val="en-GB"/>
        </w:rPr>
        <w:t xml:space="preserve">The Educated Woman in America: Selected Writings of Catharine Beecher, Margaret Fuller and M. Carey Thomas </w:t>
      </w:r>
      <w:r w:rsidRPr="006F126F">
        <w:rPr>
          <w:rFonts w:ascii="Palatino Linotype" w:hAnsi="Palatino Linotype"/>
          <w:lang w:val="en-GB"/>
        </w:rPr>
        <w:t>(New York: Teachers College Press, 1965): 60-61.</w:t>
      </w:r>
    </w:p>
  </w:footnote>
  <w:footnote w:id="6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Whiting, Thomson</w:t>
      </w:r>
      <w:r>
        <w:rPr>
          <w:rFonts w:ascii="Palatino Linotype" w:hAnsi="Palatino Linotype"/>
          <w:lang w:val="en-GB"/>
        </w:rPr>
        <w:t xml:space="preserve"> and</w:t>
      </w:r>
      <w:r w:rsidRPr="006F126F">
        <w:rPr>
          <w:rFonts w:ascii="Palatino Linotype" w:hAnsi="Palatino Linotype"/>
          <w:lang w:val="en-GB"/>
        </w:rPr>
        <w:t xml:space="preserve"> Van Dyck, ‘Letter to R. Anderson’</w:t>
      </w:r>
      <w:r w:rsidRPr="006F126F">
        <w:rPr>
          <w:rFonts w:ascii="Palatino Linotype" w:hAnsi="Palatino Linotype"/>
          <w:i/>
          <w:lang w:val="en-GB"/>
        </w:rPr>
        <w:t xml:space="preserve"> </w:t>
      </w:r>
      <w:r w:rsidRPr="006F126F">
        <w:rPr>
          <w:rFonts w:ascii="Palatino Linotype" w:hAnsi="Palatino Linotype"/>
          <w:lang w:val="en-GB"/>
        </w:rPr>
        <w:t>(Abeih,</w:t>
      </w:r>
      <w:r>
        <w:rPr>
          <w:rFonts w:ascii="Palatino Linotype" w:hAnsi="Palatino Linotype"/>
          <w:lang w:val="en-GB"/>
        </w:rPr>
        <w:t xml:space="preserve"> </w:t>
      </w:r>
      <w:r w:rsidRPr="006F126F">
        <w:rPr>
          <w:rFonts w:ascii="Palatino Linotype" w:hAnsi="Palatino Linotype"/>
          <w:lang w:val="en-GB"/>
        </w:rPr>
        <w:t xml:space="preserve">7 June 1845): 41-49; Heleen Murre-van den </w:t>
      </w:r>
      <w:r>
        <w:rPr>
          <w:rFonts w:ascii="Palatino Linotype" w:hAnsi="Palatino Linotype"/>
          <w:lang w:val="en-GB"/>
        </w:rPr>
        <w:t>Berg</w:t>
      </w:r>
      <w:r w:rsidRPr="006F126F">
        <w:rPr>
          <w:rFonts w:ascii="Palatino Linotype" w:hAnsi="Palatino Linotype"/>
          <w:lang w:val="en-GB"/>
        </w:rPr>
        <w:t xml:space="preserve">, ‘“Simply by Giving to Them Maccaroni…”: Anti-Roman Catholic Polemics in Early Protestant Missions in the Middle East, 1820-1860’, in: Tamack and Marten, </w:t>
      </w:r>
      <w:r w:rsidRPr="006F126F">
        <w:rPr>
          <w:rFonts w:ascii="Palatino Linotype" w:hAnsi="Palatino Linotype"/>
          <w:i/>
          <w:lang w:val="en-GB"/>
        </w:rPr>
        <w:t>CWBCNB</w:t>
      </w:r>
      <w:r w:rsidRPr="006F126F">
        <w:rPr>
          <w:rFonts w:ascii="Palatino Linotype" w:hAnsi="Palatino Linotype"/>
          <w:lang w:val="en-GB"/>
        </w:rPr>
        <w:t>: 67-77.</w:t>
      </w:r>
    </w:p>
  </w:footnote>
  <w:footnote w:id="6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Sydney E. Ahlstrom, ‘Theology in American: A Historical Survey’, in: J. Smith and A. Jamison, (eds.), </w:t>
      </w:r>
      <w:r w:rsidRPr="006F126F">
        <w:rPr>
          <w:rFonts w:ascii="Palatino Linotype" w:hAnsi="Palatino Linotype"/>
          <w:i/>
          <w:lang w:val="en-GB"/>
        </w:rPr>
        <w:t>The Shaping of American Religion: I: Religion in American Life</w:t>
      </w:r>
      <w:r w:rsidRPr="006F126F">
        <w:rPr>
          <w:rFonts w:ascii="Palatino Linotype" w:hAnsi="Palatino Linotype"/>
          <w:lang w:val="en-GB"/>
        </w:rPr>
        <w:t>, (Princeton, New Jersey: Princeton University Press, 1961): 246; McCoy, ‘The Women of the ABCFM Oregon Mission’: 64.</w:t>
      </w:r>
    </w:p>
  </w:footnote>
  <w:footnote w:id="6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sidRPr="005109D9">
        <w:rPr>
          <w:rFonts w:ascii="Palatino Linotype" w:hAnsi="Palatino Linotype"/>
          <w:lang w:val="en-GB"/>
        </w:rPr>
        <w:t>Joseph A. Conforti, ‘Samuel Hopkins and the New Divinity: Theology, Ethics, and Social Reform in Eighteenth-Century New England’</w:t>
      </w:r>
      <w:r>
        <w:rPr>
          <w:rFonts w:ascii="Palatino Linotype" w:hAnsi="Palatino Linotype"/>
          <w:lang w:val="en-GB"/>
        </w:rPr>
        <w:t xml:space="preserve">, </w:t>
      </w:r>
      <w:r w:rsidRPr="005109D9">
        <w:rPr>
          <w:rFonts w:ascii="Palatino Linotype" w:hAnsi="Palatino Linotype"/>
          <w:i/>
          <w:lang w:val="en-GB"/>
        </w:rPr>
        <w:t>The William and Mary Quarterly</w:t>
      </w:r>
      <w:r>
        <w:rPr>
          <w:rFonts w:ascii="Palatino Linotype" w:hAnsi="Palatino Linotype"/>
          <w:lang w:val="en-GB"/>
        </w:rPr>
        <w:t xml:space="preserve">, 34:4 (1977): </w:t>
      </w:r>
      <w:r w:rsidRPr="006F126F">
        <w:rPr>
          <w:rFonts w:ascii="Palatino Linotype" w:hAnsi="Palatino Linotype"/>
          <w:lang w:val="en-GB"/>
        </w:rPr>
        <w:t>580.</w:t>
      </w:r>
    </w:p>
  </w:footnote>
  <w:footnote w:id="6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James H. Moorhead, ‘The “Restless Spirit of Radicalism”: Old School Fears and the Schism of 1837: Exploring a Time When Extreme Passions Led to the Rupture of American Presbyterianism’, </w:t>
      </w:r>
      <w:r w:rsidRPr="006F126F">
        <w:rPr>
          <w:rFonts w:ascii="Palatino Linotype" w:hAnsi="Palatino Linotype"/>
          <w:i/>
          <w:lang w:val="en-GB"/>
        </w:rPr>
        <w:t>Journal of Presbyterian History</w:t>
      </w:r>
      <w:r w:rsidRPr="006F126F">
        <w:rPr>
          <w:rFonts w:ascii="Palatino Linotype" w:hAnsi="Palatino Linotype"/>
          <w:lang w:val="en-GB"/>
        </w:rPr>
        <w:t>, 78: 1 (2000): 23.</w:t>
      </w:r>
    </w:p>
  </w:footnote>
  <w:footnote w:id="6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Conforti, ‘Samuel Hopkins and the New Divinity’: 572; Askew and Spellman, </w:t>
      </w:r>
      <w:r w:rsidRPr="006F126F">
        <w:rPr>
          <w:rFonts w:ascii="Palatino Linotype" w:hAnsi="Palatino Linotype"/>
          <w:i/>
          <w:lang w:val="en-GB"/>
        </w:rPr>
        <w:t>Churches and the American Experience</w:t>
      </w:r>
      <w:r w:rsidRPr="006F126F">
        <w:rPr>
          <w:rFonts w:ascii="Palatino Linotype" w:hAnsi="Palatino Linotype"/>
          <w:lang w:val="en-GB"/>
        </w:rPr>
        <w:t>: 53.</w:t>
      </w:r>
    </w:p>
  </w:footnote>
  <w:footnote w:id="6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sidRPr="006F126F">
        <w:rPr>
          <w:rFonts w:ascii="Palatino Linotype" w:hAnsi="Palatino Linotype"/>
          <w:i/>
          <w:lang w:val="en-GB"/>
        </w:rPr>
        <w:t>MH</w:t>
      </w:r>
      <w:r w:rsidRPr="006F126F">
        <w:rPr>
          <w:rFonts w:ascii="Palatino Linotype" w:hAnsi="Palatino Linotype"/>
          <w:lang w:val="en-GB"/>
        </w:rPr>
        <w:t xml:space="preserve"> (1856): 130.</w:t>
      </w:r>
      <w:r>
        <w:rPr>
          <w:rFonts w:ascii="Palatino Linotype" w:hAnsi="Palatino Linotype"/>
          <w:lang w:val="en-GB"/>
        </w:rPr>
        <w:t xml:space="preserve"> </w:t>
      </w:r>
      <w:r w:rsidRPr="00D94147">
        <w:rPr>
          <w:rFonts w:ascii="Palatino Linotype" w:hAnsi="Palatino Linotype"/>
          <w:lang w:val="en-GB"/>
        </w:rPr>
        <w:t xml:space="preserve">These revivals were ‘quiet, orderly and restrained’ events that contrasted the boisterous revivals experienced in Methodist and Baptist churches. Askew and Spellman, </w:t>
      </w:r>
      <w:r w:rsidRPr="00D94147">
        <w:rPr>
          <w:rFonts w:ascii="Palatino Linotype" w:hAnsi="Palatino Linotype"/>
          <w:i/>
          <w:lang w:val="en-GB"/>
        </w:rPr>
        <w:t>Churches and the American Experience</w:t>
      </w:r>
      <w:r w:rsidRPr="00D94147">
        <w:rPr>
          <w:rFonts w:ascii="Palatino Linotype" w:hAnsi="Palatino Linotype"/>
          <w:lang w:val="en-GB"/>
        </w:rPr>
        <w:t xml:space="preserve">: 79; Kathryn Long, ‘The Power of Interpretation: The Revival of 1857-58 and the Historiography of Revivalism in America’, </w:t>
      </w:r>
      <w:r w:rsidRPr="00D94147">
        <w:rPr>
          <w:rFonts w:ascii="Palatino Linotype" w:hAnsi="Palatino Linotype"/>
          <w:i/>
          <w:lang w:val="en-GB"/>
        </w:rPr>
        <w:t>Religion and American Culture</w:t>
      </w:r>
      <w:r w:rsidRPr="00D94147">
        <w:rPr>
          <w:rFonts w:ascii="Palatino Linotype" w:hAnsi="Palatino Linotype"/>
          <w:lang w:val="en-GB"/>
        </w:rPr>
        <w:t>, 4:1 (1994): 77-105.</w:t>
      </w:r>
    </w:p>
  </w:footnote>
  <w:footnote w:id="6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Conforti, ‘Samuel Hopkins and the New Divinity’: 583.</w:t>
      </w:r>
    </w:p>
  </w:footnote>
  <w:footnote w:id="6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Colleen McDannell, </w:t>
      </w:r>
      <w:r w:rsidRPr="006F126F">
        <w:rPr>
          <w:rFonts w:ascii="Palatino Linotype" w:hAnsi="Palatino Linotype"/>
          <w:i/>
          <w:lang w:val="en-GB"/>
        </w:rPr>
        <w:t>Material Christianity: Religion and Popular Culture in America</w:t>
      </w:r>
      <w:r w:rsidRPr="006F126F">
        <w:rPr>
          <w:rFonts w:ascii="Palatino Linotype" w:hAnsi="Palatino Linotype"/>
          <w:lang w:val="en-GB"/>
        </w:rPr>
        <w:t xml:space="preserve">. (New Haven and London, 1995): 71; Feller, </w:t>
      </w:r>
      <w:r w:rsidRPr="006F126F">
        <w:rPr>
          <w:rFonts w:ascii="Palatino Linotype" w:hAnsi="Palatino Linotype"/>
          <w:i/>
          <w:lang w:val="en-GB"/>
        </w:rPr>
        <w:t>The Jacksonian Promise</w:t>
      </w:r>
      <w:r w:rsidRPr="006F126F">
        <w:rPr>
          <w:rFonts w:ascii="Palatino Linotype" w:hAnsi="Palatino Linotype"/>
          <w:lang w:val="en-GB"/>
        </w:rPr>
        <w:t xml:space="preserve">: 101; Catherine Sedgewick quoted in Sally McMurry, </w:t>
      </w:r>
      <w:r w:rsidRPr="006F126F">
        <w:rPr>
          <w:rFonts w:ascii="Palatino Linotype" w:hAnsi="Palatino Linotype"/>
          <w:i/>
          <w:lang w:val="en-GB"/>
        </w:rPr>
        <w:t xml:space="preserve">Families and Farmhouses in Nineteenth-Century America: Vernacular Design and Social Change </w:t>
      </w:r>
      <w:r w:rsidRPr="006F126F">
        <w:rPr>
          <w:rFonts w:ascii="Palatino Linotype" w:hAnsi="Palatino Linotype"/>
          <w:lang w:val="en-GB"/>
        </w:rPr>
        <w:t>(New York and Oxford: Oxford University Press, 1988): 141</w:t>
      </w:r>
      <w:r>
        <w:rPr>
          <w:rFonts w:ascii="Palatino Linotype" w:hAnsi="Palatino Linotype"/>
          <w:lang w:val="en-GB"/>
        </w:rPr>
        <w:t>.</w:t>
      </w:r>
    </w:p>
  </w:footnote>
  <w:footnote w:id="7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McDannell, </w:t>
      </w:r>
      <w:r w:rsidRPr="006F126F">
        <w:rPr>
          <w:rFonts w:ascii="Palatino Linotype" w:hAnsi="Palatino Linotype"/>
          <w:i/>
          <w:lang w:val="en-GB"/>
        </w:rPr>
        <w:t>Material Christianity</w:t>
      </w:r>
      <w:r w:rsidRPr="006F126F">
        <w:rPr>
          <w:rFonts w:ascii="Palatino Linotype" w:hAnsi="Palatino Linotype"/>
          <w:lang w:val="en-GB"/>
        </w:rPr>
        <w:t>: 67-102.</w:t>
      </w:r>
    </w:p>
  </w:footnote>
  <w:footnote w:id="7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Miller, </w:t>
      </w:r>
      <w:r w:rsidRPr="006F126F">
        <w:rPr>
          <w:rFonts w:ascii="Palatino Linotype" w:hAnsi="Palatino Linotype"/>
          <w:i/>
          <w:lang w:val="en-GB"/>
        </w:rPr>
        <w:t>Piety and Intellect</w:t>
      </w:r>
      <w:r w:rsidRPr="006F126F">
        <w:rPr>
          <w:rFonts w:ascii="Palatino Linotype" w:hAnsi="Palatino Linotype"/>
          <w:lang w:val="en-GB"/>
        </w:rPr>
        <w:t>: 13.</w:t>
      </w:r>
    </w:p>
  </w:footnote>
  <w:footnote w:id="7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e.g. Robinson and Smith, </w:t>
      </w:r>
      <w:r w:rsidRPr="006F126F">
        <w:rPr>
          <w:rFonts w:ascii="Palatino Linotype" w:hAnsi="Palatino Linotype"/>
          <w:i/>
          <w:lang w:val="en-GB"/>
        </w:rPr>
        <w:t>BR</w:t>
      </w:r>
      <w:r w:rsidRPr="006F126F">
        <w:rPr>
          <w:rFonts w:ascii="Palatino Linotype" w:hAnsi="Palatino Linotype"/>
          <w:lang w:val="en-GB"/>
        </w:rPr>
        <w:t>;</w:t>
      </w:r>
      <w:r w:rsidRPr="006F126F">
        <w:rPr>
          <w:rFonts w:ascii="Palatino Linotype" w:hAnsi="Palatino Linotype"/>
          <w:i/>
          <w:lang w:val="en-GB"/>
        </w:rPr>
        <w:t xml:space="preserve"> </w:t>
      </w:r>
      <w:r w:rsidRPr="006F126F">
        <w:rPr>
          <w:rFonts w:ascii="Palatino Linotype" w:hAnsi="Palatino Linotype"/>
          <w:lang w:val="en-GB"/>
        </w:rPr>
        <w:t xml:space="preserve">and Thomson, </w:t>
      </w:r>
      <w:r w:rsidRPr="006F126F">
        <w:rPr>
          <w:rFonts w:ascii="Palatino Linotype" w:hAnsi="Palatino Linotype"/>
          <w:i/>
          <w:lang w:val="en-GB"/>
        </w:rPr>
        <w:t>LB</w:t>
      </w:r>
      <w:r w:rsidRPr="006F126F">
        <w:rPr>
          <w:rFonts w:ascii="Palatino Linotype" w:hAnsi="Palatino Linotype"/>
          <w:lang w:val="en-GB"/>
        </w:rPr>
        <w:t>.</w:t>
      </w:r>
    </w:p>
  </w:footnote>
  <w:footnote w:id="7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Badr </w:t>
      </w:r>
      <w:r>
        <w:rPr>
          <w:rFonts w:ascii="Palatino Linotype" w:hAnsi="Palatino Linotype"/>
          <w:lang w:val="en-GB"/>
        </w:rPr>
        <w:t xml:space="preserve">recognises </w:t>
      </w:r>
      <w:r w:rsidRPr="006F126F">
        <w:rPr>
          <w:rFonts w:ascii="Palatino Linotype" w:hAnsi="Palatino Linotype"/>
          <w:lang w:val="en-GB"/>
        </w:rPr>
        <w:t>that the ABCFM missionaries to Syria ‘played a crucial role in the rise of modern Biblical scholarship in American seminaries.’ Badr, ‘Missions to “Nominal Christians”’: 7</w:t>
      </w:r>
    </w:p>
  </w:footnote>
  <w:footnote w:id="7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Moorhead, ‘Between Progress and Apocalypse’: 525.</w:t>
      </w:r>
    </w:p>
  </w:footnote>
  <w:footnote w:id="7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Moorhead, ‘Between Progress and Apocalypse’: 526.</w:t>
      </w:r>
    </w:p>
  </w:footnote>
  <w:footnote w:id="7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Timothy Dwight in </w:t>
      </w:r>
      <w:r w:rsidRPr="006F126F">
        <w:rPr>
          <w:rFonts w:ascii="Palatino Linotype" w:hAnsi="Palatino Linotype"/>
          <w:i/>
          <w:lang w:val="en-GB"/>
        </w:rPr>
        <w:t>Panoplist</w:t>
      </w:r>
      <w:r w:rsidRPr="006F126F">
        <w:rPr>
          <w:rFonts w:ascii="Palatino Linotype" w:hAnsi="Palatino Linotype"/>
          <w:lang w:val="en-GB"/>
        </w:rPr>
        <w:t xml:space="preserve"> (1819): 486-91; James H. Moorhead, </w:t>
      </w:r>
      <w:r w:rsidRPr="006F126F">
        <w:rPr>
          <w:rFonts w:ascii="Palatino Linotype" w:hAnsi="Palatino Linotype"/>
          <w:i/>
          <w:lang w:val="en-GB"/>
        </w:rPr>
        <w:t xml:space="preserve">American Apocalypse: Yankee Protestants and the Civil War: 1860-1869 </w:t>
      </w:r>
      <w:r w:rsidRPr="006F126F">
        <w:rPr>
          <w:rFonts w:ascii="Palatino Linotype" w:hAnsi="Palatino Linotype"/>
          <w:lang w:val="en-GB"/>
        </w:rPr>
        <w:t>(New Haven and London: Yale University Press, 1978): 524-542; Moorhead, ‘Between Progress and Apocalypse’: 526-527.</w:t>
      </w:r>
    </w:p>
  </w:footnote>
  <w:footnote w:id="7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Richmond, </w:t>
      </w:r>
      <w:r w:rsidRPr="006F126F">
        <w:rPr>
          <w:rFonts w:ascii="Palatino Linotype" w:hAnsi="Palatino Linotype"/>
          <w:i/>
          <w:lang w:val="en-GB"/>
        </w:rPr>
        <w:t>The Dairyman’s Daughter</w:t>
      </w:r>
      <w:r w:rsidRPr="006F126F">
        <w:rPr>
          <w:rFonts w:ascii="Palatino Linotype" w:hAnsi="Palatino Linotype"/>
          <w:lang w:val="en-GB"/>
        </w:rPr>
        <w:t xml:space="preserve">: 62-63; Moorhead, </w:t>
      </w:r>
      <w:r w:rsidRPr="006F126F">
        <w:rPr>
          <w:rFonts w:ascii="Palatino Linotype" w:hAnsi="Palatino Linotype"/>
          <w:i/>
          <w:lang w:val="en-GB"/>
        </w:rPr>
        <w:t>American Apocalypse</w:t>
      </w:r>
      <w:r w:rsidRPr="006F126F">
        <w:rPr>
          <w:rFonts w:ascii="Palatino Linotype" w:hAnsi="Palatino Linotype"/>
          <w:lang w:val="en-GB"/>
        </w:rPr>
        <w:t xml:space="preserve">: 526-7; Harrison, </w:t>
      </w:r>
      <w:r w:rsidRPr="006F126F">
        <w:rPr>
          <w:rFonts w:ascii="Palatino Linotype" w:hAnsi="Palatino Linotype"/>
          <w:i/>
          <w:lang w:val="en-GB"/>
        </w:rPr>
        <w:t>The Second Coming</w:t>
      </w:r>
      <w:r w:rsidRPr="006F126F">
        <w:rPr>
          <w:rFonts w:ascii="Palatino Linotype" w:hAnsi="Palatino Linotype"/>
          <w:lang w:val="en-GB"/>
        </w:rPr>
        <w:t>: 6-7.</w:t>
      </w:r>
    </w:p>
  </w:footnote>
  <w:footnote w:id="7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American Board of Commissioners for Foreign Missions, ‘Missionary Tract No. 10: The Missionary Age: A Half Century Sermon: By One of the Secretaries of the Board’</w:t>
      </w:r>
      <w:r w:rsidRPr="006F126F">
        <w:rPr>
          <w:rFonts w:ascii="Palatino Linotype" w:hAnsi="Palatino Linotype"/>
          <w:i/>
          <w:lang w:val="en-GB"/>
        </w:rPr>
        <w:t xml:space="preserve"> </w:t>
      </w:r>
      <w:r w:rsidRPr="006F126F">
        <w:rPr>
          <w:rFonts w:ascii="Palatino Linotype" w:hAnsi="Palatino Linotype"/>
          <w:lang w:val="en-GB"/>
        </w:rPr>
        <w:t>(Boston: n.s., 1852): 2-3.</w:t>
      </w:r>
    </w:p>
  </w:footnote>
  <w:footnote w:id="7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Rev. E. Bickerteth, ‘The Apostolic Benediction: or, The Heart Directed into the Love of God, and the Patient Waiting for Christ’</w:t>
      </w:r>
      <w:r w:rsidRPr="006F126F">
        <w:rPr>
          <w:rFonts w:ascii="Palatino Linotype" w:hAnsi="Palatino Linotype"/>
          <w:i/>
          <w:lang w:val="en-GB"/>
        </w:rPr>
        <w:t xml:space="preserve"> </w:t>
      </w:r>
      <w:r w:rsidRPr="006F126F">
        <w:rPr>
          <w:rFonts w:ascii="Palatino Linotype" w:hAnsi="Palatino Linotype"/>
          <w:lang w:val="en-GB"/>
        </w:rPr>
        <w:t xml:space="preserve">(London: R.B. Seeley and W. Burnside, 1837): 43-44; Loraine Boettner, </w:t>
      </w:r>
      <w:r w:rsidRPr="006F126F">
        <w:rPr>
          <w:rFonts w:ascii="Palatino Linotype" w:hAnsi="Palatino Linotype"/>
          <w:i/>
          <w:lang w:val="en-GB"/>
        </w:rPr>
        <w:t xml:space="preserve">The Millennium </w:t>
      </w:r>
      <w:r w:rsidRPr="006F126F">
        <w:rPr>
          <w:rFonts w:ascii="Palatino Linotype" w:hAnsi="Palatino Linotype"/>
          <w:lang w:val="en-GB"/>
        </w:rPr>
        <w:t>(Philadelphia: The Presbyterian and Reformed Company, 1958): 43.</w:t>
      </w:r>
    </w:p>
  </w:footnote>
  <w:footnote w:id="8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Miller’s calculations proved, in both cases, to be erroneous. A. Leland Jamison, ‘Religions on the Christian Perimeter’, in J. Smith and A. Jamison</w:t>
      </w:r>
      <w:r w:rsidRPr="006F126F">
        <w:rPr>
          <w:rFonts w:ascii="Palatino Linotype" w:hAnsi="Palatino Linotype"/>
          <w:i/>
          <w:lang w:val="en-GB"/>
        </w:rPr>
        <w:t xml:space="preserve"> </w:t>
      </w:r>
      <w:r w:rsidRPr="006F126F">
        <w:rPr>
          <w:rFonts w:ascii="Palatino Linotype" w:hAnsi="Palatino Linotype"/>
          <w:lang w:val="en-GB"/>
        </w:rPr>
        <w:t xml:space="preserve">(eds.), </w:t>
      </w:r>
      <w:r w:rsidRPr="006F126F">
        <w:rPr>
          <w:rFonts w:ascii="Palatino Linotype" w:hAnsi="Palatino Linotype"/>
          <w:i/>
          <w:lang w:val="en-GB"/>
        </w:rPr>
        <w:t xml:space="preserve">The Shaping of American Religion: I: Religion in American Life </w:t>
      </w:r>
      <w:r w:rsidRPr="006F126F">
        <w:rPr>
          <w:rFonts w:ascii="Palatino Linotype" w:hAnsi="Palatino Linotype"/>
          <w:lang w:val="en-GB"/>
        </w:rPr>
        <w:t>(Princeton, New Jersey: Princeton University Press, 1961): 162-231</w:t>
      </w:r>
      <w:r>
        <w:rPr>
          <w:rFonts w:ascii="Palatino Linotype" w:hAnsi="Palatino Linotype"/>
          <w:lang w:val="en-GB"/>
        </w:rPr>
        <w:t xml:space="preserve">; </w:t>
      </w:r>
      <w:r w:rsidRPr="006F126F">
        <w:rPr>
          <w:rFonts w:ascii="Palatino Linotype" w:hAnsi="Palatino Linotype"/>
          <w:lang w:val="en-GB"/>
        </w:rPr>
        <w:t xml:space="preserve">LeBeau, </w:t>
      </w:r>
      <w:r w:rsidRPr="006F126F">
        <w:rPr>
          <w:rFonts w:ascii="Palatino Linotype" w:hAnsi="Palatino Linotype"/>
          <w:i/>
          <w:lang w:val="en-GB"/>
        </w:rPr>
        <w:t>Religion in America to 1865</w:t>
      </w:r>
      <w:r w:rsidRPr="006F126F">
        <w:rPr>
          <w:rFonts w:ascii="Palatino Linotype" w:hAnsi="Palatino Linotype"/>
          <w:lang w:val="en-GB"/>
        </w:rPr>
        <w:t xml:space="preserve">: 124-5; Boettner, </w:t>
      </w:r>
      <w:r w:rsidRPr="006F126F">
        <w:rPr>
          <w:rFonts w:ascii="Palatino Linotype" w:hAnsi="Palatino Linotype"/>
          <w:i/>
          <w:lang w:val="en-GB"/>
        </w:rPr>
        <w:t>The Millennium</w:t>
      </w:r>
      <w:r w:rsidRPr="006F126F">
        <w:rPr>
          <w:rFonts w:ascii="Palatino Linotype" w:hAnsi="Palatino Linotype"/>
          <w:lang w:val="en-GB"/>
        </w:rPr>
        <w:t>: 337-351.</w:t>
      </w:r>
    </w:p>
  </w:footnote>
  <w:footnote w:id="8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V. D. Lipman, </w:t>
      </w:r>
      <w:r w:rsidRPr="006F126F">
        <w:rPr>
          <w:rFonts w:ascii="Palatino Linotype" w:hAnsi="Palatino Linotype"/>
          <w:i/>
          <w:lang w:val="en-GB"/>
        </w:rPr>
        <w:t>Americans and the Holy Land Through British Eyes: 1820-1917: A Documentary History</w:t>
      </w:r>
      <w:r w:rsidRPr="006F126F">
        <w:rPr>
          <w:rFonts w:ascii="Palatino Linotype" w:hAnsi="Palatino Linotype"/>
          <w:lang w:val="en-GB"/>
        </w:rPr>
        <w:t xml:space="preserve"> (London: V.D. Lipman, 1989): 19-21, 119-137.</w:t>
      </w:r>
    </w:p>
  </w:footnote>
  <w:footnote w:id="8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Boettner, </w:t>
      </w:r>
      <w:r w:rsidRPr="006F126F">
        <w:rPr>
          <w:rFonts w:ascii="Palatino Linotype" w:hAnsi="Palatino Linotype"/>
          <w:i/>
          <w:lang w:val="en-GB"/>
        </w:rPr>
        <w:t>The Millennium</w:t>
      </w:r>
      <w:r w:rsidRPr="006F126F">
        <w:rPr>
          <w:rFonts w:ascii="Palatino Linotype" w:hAnsi="Palatino Linotype"/>
          <w:lang w:val="en-GB"/>
        </w:rPr>
        <w:t>: 6, 141-144.</w:t>
      </w:r>
    </w:p>
  </w:footnote>
  <w:footnote w:id="8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Paul Charles Merkley, </w:t>
      </w:r>
      <w:r w:rsidRPr="006F126F">
        <w:rPr>
          <w:rFonts w:ascii="Palatino Linotype" w:hAnsi="Palatino Linotype"/>
          <w:i/>
          <w:lang w:val="en-GB"/>
        </w:rPr>
        <w:t xml:space="preserve">The Politics of Christian Zionism 1981-1948 </w:t>
      </w:r>
      <w:r w:rsidRPr="006F126F">
        <w:rPr>
          <w:rFonts w:ascii="Palatino Linotype" w:hAnsi="Palatino Linotype"/>
          <w:lang w:val="en-GB"/>
        </w:rPr>
        <w:t xml:space="preserve">(London and Portland, OR.: Frank Cass, 1998): 13-14, 40; Reeva Spector Simon, ‘The Case of the Curse: The London Society for Promoting Christianity Amongst the Jews and the Jews of Bagdad’, in: Tejirian and Simon, </w:t>
      </w:r>
      <w:r w:rsidRPr="006F126F">
        <w:rPr>
          <w:rFonts w:ascii="Palatino Linotype" w:hAnsi="Palatino Linotype"/>
          <w:i/>
          <w:lang w:val="en-GB"/>
        </w:rPr>
        <w:t>AI</w:t>
      </w:r>
      <w:r w:rsidRPr="006F126F">
        <w:rPr>
          <w:rFonts w:ascii="Palatino Linotype" w:hAnsi="Palatino Linotype"/>
          <w:lang w:val="en-GB"/>
        </w:rPr>
        <w:t>: 51-52.</w:t>
      </w:r>
    </w:p>
  </w:footnote>
  <w:footnote w:id="8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Eli Smith, ‘The Missionary Character: An Address Delivered Before the Society of Inquiry into the Th</w:t>
      </w:r>
      <w:r>
        <w:rPr>
          <w:rFonts w:ascii="Palatino Linotype" w:hAnsi="Palatino Linotype"/>
          <w:lang w:val="en-GB"/>
        </w:rPr>
        <w:t>eological Seminary in New Haven.</w:t>
      </w:r>
      <w:r w:rsidRPr="006F126F">
        <w:rPr>
          <w:rFonts w:ascii="Palatino Linotype" w:hAnsi="Palatino Linotype"/>
          <w:lang w:val="en-GB"/>
        </w:rPr>
        <w:t xml:space="preserve"> (April 1, 1840)’</w:t>
      </w:r>
      <w:r w:rsidRPr="006F126F">
        <w:rPr>
          <w:rFonts w:ascii="Palatino Linotype" w:hAnsi="Palatino Linotype"/>
          <w:i/>
          <w:lang w:val="en-GB"/>
        </w:rPr>
        <w:t xml:space="preserve"> </w:t>
      </w:r>
      <w:r w:rsidRPr="006F126F">
        <w:rPr>
          <w:rFonts w:ascii="Palatino Linotype" w:hAnsi="Palatino Linotype"/>
          <w:lang w:val="en-GB"/>
        </w:rPr>
        <w:t>(New Haven: B.L. Hamlen, 1840): 33.</w:t>
      </w:r>
    </w:p>
  </w:footnote>
  <w:footnote w:id="8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Catherine M. Scholten, </w:t>
      </w:r>
      <w:r w:rsidRPr="006F126F">
        <w:rPr>
          <w:rFonts w:ascii="Palatino Linotype" w:hAnsi="Palatino Linotype"/>
          <w:i/>
          <w:lang w:val="en-GB"/>
        </w:rPr>
        <w:t xml:space="preserve">Childbearing in American Society: 1650-1850 </w:t>
      </w:r>
      <w:r w:rsidRPr="006F126F">
        <w:rPr>
          <w:rFonts w:ascii="Palatino Linotype" w:hAnsi="Palatino Linotype"/>
          <w:lang w:val="en-GB"/>
        </w:rPr>
        <w:t>(New York and London: New York University Press, 1985): 93.</w:t>
      </w:r>
    </w:p>
  </w:footnote>
  <w:footnote w:id="8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Bruckner, ‘Literacy for Empire’: 177; Feller, </w:t>
      </w:r>
      <w:r w:rsidRPr="006F126F">
        <w:rPr>
          <w:rFonts w:ascii="Palatino Linotype" w:hAnsi="Palatino Linotype"/>
          <w:i/>
          <w:lang w:val="en-GB"/>
        </w:rPr>
        <w:t>The Jacksonian Promise</w:t>
      </w:r>
      <w:r w:rsidRPr="006F126F">
        <w:rPr>
          <w:rFonts w:ascii="Palatino Linotype" w:hAnsi="Palatino Linotype"/>
          <w:lang w:val="en-GB"/>
        </w:rPr>
        <w:t xml:space="preserve">: 150. By the mid-1840s, the Lancasterian system was also </w:t>
      </w:r>
      <w:r>
        <w:rPr>
          <w:rFonts w:ascii="Palatino Linotype" w:hAnsi="Palatino Linotype"/>
          <w:lang w:val="en-GB"/>
        </w:rPr>
        <w:t>being used</w:t>
      </w:r>
      <w:r w:rsidRPr="006F126F">
        <w:rPr>
          <w:rFonts w:ascii="Palatino Linotype" w:hAnsi="Palatino Linotype"/>
          <w:lang w:val="en-GB"/>
        </w:rPr>
        <w:t xml:space="preserve"> in Egypt. Timothy Mitchell, </w:t>
      </w:r>
      <w:r w:rsidRPr="006F126F">
        <w:rPr>
          <w:rFonts w:ascii="Palatino Linotype" w:hAnsi="Palatino Linotype"/>
          <w:i/>
          <w:lang w:val="en-GB"/>
        </w:rPr>
        <w:t xml:space="preserve">Colonising Egypt </w:t>
      </w:r>
      <w:r w:rsidRPr="006F126F">
        <w:rPr>
          <w:rFonts w:ascii="Palatino Linotype" w:hAnsi="Palatino Linotype"/>
          <w:lang w:val="en-GB"/>
        </w:rPr>
        <w:t xml:space="preserve">(Cambridge: Cambridge University Press, 1988): 69-71.  </w:t>
      </w:r>
    </w:p>
  </w:footnote>
  <w:footnote w:id="8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Feller, </w:t>
      </w:r>
      <w:r w:rsidRPr="006F126F">
        <w:rPr>
          <w:rFonts w:ascii="Palatino Linotype" w:hAnsi="Palatino Linotype"/>
          <w:i/>
          <w:lang w:val="en-GB"/>
        </w:rPr>
        <w:t>The Jacksonian Promise</w:t>
      </w:r>
      <w:r w:rsidRPr="006F126F">
        <w:rPr>
          <w:rFonts w:ascii="Palatino Linotype" w:hAnsi="Palatino Linotype"/>
          <w:lang w:val="en-GB"/>
        </w:rPr>
        <w:t xml:space="preserve">: 151; Scholten, </w:t>
      </w:r>
      <w:r w:rsidRPr="006F126F">
        <w:rPr>
          <w:rFonts w:ascii="Palatino Linotype" w:hAnsi="Palatino Linotype"/>
          <w:i/>
          <w:lang w:val="en-GB"/>
        </w:rPr>
        <w:t>Childbearing in American Society</w:t>
      </w:r>
      <w:r w:rsidRPr="006F126F">
        <w:rPr>
          <w:rFonts w:ascii="Palatino Linotype" w:hAnsi="Palatino Linotype"/>
          <w:lang w:val="en-GB"/>
        </w:rPr>
        <w:t>: 93.</w:t>
      </w:r>
    </w:p>
  </w:footnote>
  <w:footnote w:id="8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Barbara M. Cross</w:t>
      </w:r>
      <w:r w:rsidRPr="006F126F">
        <w:rPr>
          <w:rFonts w:ascii="Palatino Linotype" w:hAnsi="Palatino Linotype"/>
          <w:i/>
          <w:lang w:val="en-GB"/>
        </w:rPr>
        <w:t xml:space="preserve"> </w:t>
      </w:r>
      <w:r w:rsidRPr="006F126F">
        <w:rPr>
          <w:rFonts w:ascii="Palatino Linotype" w:hAnsi="Palatino Linotype"/>
          <w:lang w:val="en-GB"/>
        </w:rPr>
        <w:t xml:space="preserve">(ed.), </w:t>
      </w:r>
      <w:r w:rsidRPr="006F126F">
        <w:rPr>
          <w:rFonts w:ascii="Palatino Linotype" w:hAnsi="Palatino Linotype"/>
          <w:i/>
          <w:lang w:val="en-GB"/>
        </w:rPr>
        <w:t xml:space="preserve">The Educated Woman in America: Selected Writings of Catharine Beecher, Margaret Fuller and M. Carey Thomas </w:t>
      </w:r>
      <w:r w:rsidRPr="006F126F">
        <w:rPr>
          <w:rFonts w:ascii="Palatino Linotype" w:hAnsi="Palatino Linotype"/>
          <w:lang w:val="en-GB"/>
        </w:rPr>
        <w:t>(New York: Teachers College Press, 1965): 76: note 4.</w:t>
      </w:r>
    </w:p>
  </w:footnote>
  <w:footnote w:id="8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Clifford, ‘Home and School in 19th Century America’: 19.</w:t>
      </w:r>
    </w:p>
  </w:footnote>
  <w:footnote w:id="9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The 1850 Census states that just under five percent of the white, native-born population was illiterate. J.D.B. DeBow, </w:t>
      </w:r>
      <w:r w:rsidRPr="006F126F">
        <w:rPr>
          <w:rFonts w:ascii="Palatino Linotype" w:hAnsi="Palatino Linotype"/>
          <w:i/>
          <w:lang w:val="en-GB"/>
        </w:rPr>
        <w:t>Statistical View of the United States,...Being a Compendium of the Seventh Census</w:t>
      </w:r>
      <w:r w:rsidRPr="006F126F">
        <w:rPr>
          <w:rFonts w:ascii="Palatino Linotype" w:hAnsi="Palatino Linotype"/>
          <w:lang w:val="en-GB"/>
        </w:rPr>
        <w:t xml:space="preserve"> (Washington: Beverley Tucker, 1854): 152. Scholars have </w:t>
      </w:r>
      <w:r>
        <w:rPr>
          <w:rFonts w:ascii="Palatino Linotype" w:hAnsi="Palatino Linotype"/>
          <w:lang w:val="en-GB"/>
        </w:rPr>
        <w:t>identified</w:t>
      </w:r>
      <w:r w:rsidRPr="006F126F">
        <w:rPr>
          <w:rFonts w:ascii="Palatino Linotype" w:hAnsi="Palatino Linotype"/>
          <w:lang w:val="en-GB"/>
        </w:rPr>
        <w:t xml:space="preserve"> </w:t>
      </w:r>
      <w:r>
        <w:rPr>
          <w:rFonts w:ascii="Palatino Linotype" w:hAnsi="Palatino Linotype"/>
          <w:lang w:val="en-GB"/>
        </w:rPr>
        <w:t>the ways</w:t>
      </w:r>
      <w:r w:rsidRPr="006F126F">
        <w:rPr>
          <w:rFonts w:ascii="Palatino Linotype" w:hAnsi="Palatino Linotype"/>
          <w:lang w:val="en-GB"/>
        </w:rPr>
        <w:t xml:space="preserve"> </w:t>
      </w:r>
      <w:r>
        <w:rPr>
          <w:rFonts w:ascii="Palatino Linotype" w:hAnsi="Palatino Linotype"/>
          <w:lang w:val="en-GB"/>
        </w:rPr>
        <w:t xml:space="preserve">that </w:t>
      </w:r>
      <w:r w:rsidRPr="006F126F">
        <w:rPr>
          <w:rFonts w:ascii="Palatino Linotype" w:hAnsi="Palatino Linotype"/>
          <w:lang w:val="en-GB"/>
        </w:rPr>
        <w:t>black slaves were intentionally prevented from becoming literate by their white slave owners. Reem M. Hilal, ‘African Muslim Slave Writings and Muslims in America: Identities in Transition’, Presented at: Middle East Studies Association (of North America) Annual Conference</w:t>
      </w:r>
      <w:r w:rsidRPr="006F126F">
        <w:rPr>
          <w:rFonts w:ascii="Palatino Linotype" w:hAnsi="Palatino Linotype"/>
          <w:i/>
          <w:lang w:val="en-GB"/>
        </w:rPr>
        <w:t xml:space="preserve"> </w:t>
      </w:r>
      <w:r w:rsidRPr="006F126F">
        <w:rPr>
          <w:rFonts w:ascii="Palatino Linotype" w:hAnsi="Palatino Linotype"/>
          <w:lang w:val="en-GB"/>
        </w:rPr>
        <w:t>(Boston: 20 November 2006).</w:t>
      </w:r>
    </w:p>
  </w:footnote>
  <w:footnote w:id="9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Beecher, ‘An Essay on the Education of Female Teachers’: 77.</w:t>
      </w:r>
    </w:p>
  </w:footnote>
  <w:footnote w:id="9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Beecher, ‘A Plea for the West’: 48.</w:t>
      </w:r>
    </w:p>
  </w:footnote>
  <w:footnote w:id="9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The American Home Mission Society was founded by Congregational, Presbyterian, Dutch Reformed and Associate Reformed congregants. </w:t>
      </w:r>
    </w:p>
  </w:footnote>
  <w:footnote w:id="9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The latter image became increasingly popular during the mid-century. McDannell, </w:t>
      </w:r>
      <w:r w:rsidRPr="006F126F">
        <w:rPr>
          <w:rFonts w:ascii="Palatino Linotype" w:hAnsi="Palatino Linotype"/>
          <w:i/>
          <w:lang w:val="en-GB"/>
        </w:rPr>
        <w:t>Material Christianity</w:t>
      </w:r>
      <w:r w:rsidRPr="006F126F">
        <w:rPr>
          <w:rFonts w:ascii="Palatino Linotype" w:hAnsi="Palatino Linotype"/>
          <w:lang w:val="en-GB"/>
        </w:rPr>
        <w:t>: 72-84.</w:t>
      </w:r>
    </w:p>
  </w:footnote>
  <w:footnote w:id="9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Clifton Jackson Phillips, </w:t>
      </w:r>
      <w:r w:rsidRPr="006F126F">
        <w:rPr>
          <w:rFonts w:ascii="Palatino Linotype" w:hAnsi="Palatino Linotype"/>
          <w:i/>
          <w:lang w:val="en-GB"/>
        </w:rPr>
        <w:t xml:space="preserve">Protestant America and the Pagan World: The First Half Century of the American Board of Commissioners for Foreign Missions, 1810-1860 </w:t>
      </w:r>
      <w:r w:rsidRPr="006F126F">
        <w:rPr>
          <w:rFonts w:ascii="Palatino Linotype" w:hAnsi="Palatino Linotype"/>
          <w:lang w:val="en-GB"/>
        </w:rPr>
        <w:t>(Cambridge: Harvard University Press, 1969): 294.</w:t>
      </w:r>
    </w:p>
  </w:footnote>
  <w:footnote w:id="9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Schools were also organised by Roman Catholic organisations and parishes during this period.</w:t>
      </w:r>
      <w:r w:rsidRPr="006F126F">
        <w:rPr>
          <w:rFonts w:ascii="Palatino Linotype" w:hAnsi="Palatino Linotype"/>
          <w:color w:val="auto"/>
          <w:lang w:val="en-GB"/>
        </w:rPr>
        <w:t xml:space="preserve"> </w:t>
      </w:r>
      <w:r w:rsidRPr="006F126F">
        <w:rPr>
          <w:rFonts w:ascii="Palatino Linotype" w:hAnsi="Palatino Linotype"/>
          <w:lang w:val="en-GB"/>
        </w:rPr>
        <w:t>Browne, ‘Catholicism in the United States’: 85-88.</w:t>
      </w:r>
    </w:p>
  </w:footnote>
  <w:footnote w:id="9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Miller, </w:t>
      </w:r>
      <w:r w:rsidRPr="006F126F">
        <w:rPr>
          <w:rFonts w:ascii="Palatino Linotype" w:hAnsi="Palatino Linotype"/>
          <w:i/>
          <w:lang w:val="en-GB"/>
        </w:rPr>
        <w:t xml:space="preserve">Piety and Intellect: </w:t>
      </w:r>
      <w:r w:rsidRPr="006F126F">
        <w:rPr>
          <w:rFonts w:ascii="Palatino Linotype" w:hAnsi="Palatino Linotype"/>
          <w:lang w:val="en-GB"/>
        </w:rPr>
        <w:t xml:space="preserve">146-148. </w:t>
      </w:r>
    </w:p>
  </w:footnote>
  <w:footnote w:id="9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Smith, ‘The Missionary Character’: 6.</w:t>
      </w:r>
    </w:p>
  </w:footnote>
  <w:footnote w:id="9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For a review of these revisions see Mary Kelly, ‘Beyond the Boundaries’, </w:t>
      </w:r>
      <w:r w:rsidRPr="006F126F">
        <w:rPr>
          <w:rFonts w:ascii="Palatino Linotype" w:hAnsi="Palatino Linotype"/>
          <w:i/>
          <w:lang w:val="en-GB"/>
        </w:rPr>
        <w:t>Journal of the Early Republic,</w:t>
      </w:r>
      <w:r w:rsidRPr="006F126F">
        <w:rPr>
          <w:rFonts w:ascii="Palatino Linotype" w:hAnsi="Palatino Linotype"/>
          <w:lang w:val="en-GB"/>
        </w:rPr>
        <w:t xml:space="preserve"> 21:1 (2001): 73-78. Compare with Cott, </w:t>
      </w:r>
      <w:r w:rsidRPr="006F126F">
        <w:rPr>
          <w:rFonts w:ascii="Palatino Linotype" w:hAnsi="Palatino Linotype"/>
          <w:i/>
          <w:lang w:val="en-GB"/>
        </w:rPr>
        <w:t>The Bonds of Womanhood</w:t>
      </w:r>
      <w:r w:rsidRPr="006F126F">
        <w:rPr>
          <w:rFonts w:ascii="Palatino Linotype" w:hAnsi="Palatino Linotype"/>
          <w:lang w:val="en-GB"/>
        </w:rPr>
        <w:t xml:space="preserve">: 126-159; S.J. </w:t>
      </w:r>
      <w:r>
        <w:rPr>
          <w:rFonts w:ascii="Palatino Linotype" w:hAnsi="Palatino Linotype"/>
          <w:lang w:val="en-GB"/>
        </w:rPr>
        <w:t>Kleinberg</w:t>
      </w:r>
      <w:r w:rsidRPr="006F126F">
        <w:rPr>
          <w:rFonts w:ascii="Palatino Linotype" w:hAnsi="Palatino Linotype"/>
          <w:lang w:val="en-GB"/>
        </w:rPr>
        <w:t xml:space="preserve">, </w:t>
      </w:r>
      <w:r w:rsidRPr="006F126F">
        <w:rPr>
          <w:rFonts w:ascii="Palatino Linotype" w:hAnsi="Palatino Linotype"/>
          <w:i/>
          <w:lang w:val="en-GB"/>
        </w:rPr>
        <w:t xml:space="preserve">Women in the United States, 1830-1945 </w:t>
      </w:r>
      <w:r w:rsidRPr="006F126F">
        <w:rPr>
          <w:rFonts w:ascii="Palatino Linotype" w:hAnsi="Palatino Linotype"/>
          <w:lang w:val="en-GB"/>
        </w:rPr>
        <w:t>(London: Macmillian, 1999): 80-102; Barbara Welter, ‘The Feminization of American Religion: 1800-1860’, in: J. Butler and H. S. Stout</w:t>
      </w:r>
      <w:r w:rsidRPr="006F126F">
        <w:rPr>
          <w:rFonts w:ascii="Palatino Linotype" w:hAnsi="Palatino Linotype"/>
          <w:i/>
          <w:lang w:val="en-GB"/>
        </w:rPr>
        <w:t xml:space="preserve"> </w:t>
      </w:r>
      <w:r w:rsidRPr="006F126F">
        <w:rPr>
          <w:rFonts w:ascii="Palatino Linotype" w:hAnsi="Palatino Linotype"/>
          <w:lang w:val="en-GB"/>
        </w:rPr>
        <w:t xml:space="preserve">(eds.), </w:t>
      </w:r>
      <w:r w:rsidRPr="006F126F">
        <w:rPr>
          <w:rFonts w:ascii="Palatino Linotype" w:hAnsi="Palatino Linotype"/>
          <w:i/>
          <w:lang w:val="en-GB"/>
        </w:rPr>
        <w:t xml:space="preserve">Religion and American History: A Reader </w:t>
      </w:r>
      <w:r w:rsidRPr="006F126F">
        <w:rPr>
          <w:rFonts w:ascii="Palatino Linotype" w:hAnsi="Palatino Linotype"/>
          <w:lang w:val="en-GB"/>
        </w:rPr>
        <w:t xml:space="preserve">(New York and Oxford: Oxford University Press, 1998): 157-179; Ann Douglas, </w:t>
      </w:r>
      <w:r w:rsidRPr="006F126F">
        <w:rPr>
          <w:rFonts w:ascii="Palatino Linotype" w:hAnsi="Palatino Linotype"/>
          <w:i/>
          <w:lang w:val="en-GB"/>
        </w:rPr>
        <w:t xml:space="preserve">The Feminization of American Culture </w:t>
      </w:r>
      <w:r w:rsidRPr="006F126F">
        <w:rPr>
          <w:rFonts w:ascii="Palatino Linotype" w:hAnsi="Palatino Linotype"/>
          <w:lang w:val="en-GB"/>
        </w:rPr>
        <w:t>(New York, 1977); Barbara Welter, ‘The Cult of the True Womanhood: 1820-1860’ [1966], in: M. Gordon</w:t>
      </w:r>
      <w:r w:rsidRPr="006F126F">
        <w:rPr>
          <w:rFonts w:ascii="Palatino Linotype" w:hAnsi="Palatino Linotype"/>
          <w:i/>
          <w:lang w:val="en-GB"/>
        </w:rPr>
        <w:t xml:space="preserve"> </w:t>
      </w:r>
      <w:r w:rsidRPr="006F126F">
        <w:rPr>
          <w:rFonts w:ascii="Palatino Linotype" w:hAnsi="Palatino Linotype"/>
          <w:lang w:val="en-GB"/>
        </w:rPr>
        <w:t xml:space="preserve">(ed.), </w:t>
      </w:r>
      <w:r w:rsidRPr="006F126F">
        <w:rPr>
          <w:rFonts w:ascii="Palatino Linotype" w:hAnsi="Palatino Linotype"/>
          <w:i/>
          <w:lang w:val="en-GB"/>
        </w:rPr>
        <w:t>The American Family in Social-Historical Perspective</w:t>
      </w:r>
      <w:r w:rsidRPr="006F126F">
        <w:rPr>
          <w:rFonts w:ascii="Palatino Linotype" w:hAnsi="Palatino Linotype"/>
          <w:lang w:val="en-GB"/>
        </w:rPr>
        <w:t xml:space="preserve"> (Second Edition)</w:t>
      </w:r>
      <w:r w:rsidRPr="006F126F">
        <w:rPr>
          <w:rFonts w:ascii="Palatino Linotype" w:hAnsi="Palatino Linotype"/>
          <w:i/>
          <w:lang w:val="en-GB"/>
        </w:rPr>
        <w:t xml:space="preserve"> </w:t>
      </w:r>
      <w:r w:rsidRPr="006F126F">
        <w:rPr>
          <w:rFonts w:ascii="Palatino Linotype" w:hAnsi="Palatino Linotype"/>
          <w:lang w:val="en-GB"/>
        </w:rPr>
        <w:t>(New York: St. Martin’s Press, 1978): 313-333.</w:t>
      </w:r>
    </w:p>
  </w:footnote>
  <w:footnote w:id="10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Carolyn J. Lawes, ‘Trifling with Holy Time: Women and the Formation of the Calvinist Church of Worcester, Massachusetts, 1815-1820’, </w:t>
      </w:r>
      <w:r w:rsidRPr="006F126F">
        <w:rPr>
          <w:rFonts w:ascii="Palatino Linotype" w:hAnsi="Palatino Linotype"/>
          <w:i/>
          <w:lang w:val="en-GB"/>
        </w:rPr>
        <w:t>Religion and American Culture,</w:t>
      </w:r>
      <w:r w:rsidRPr="006F126F">
        <w:rPr>
          <w:rFonts w:ascii="Palatino Linotype" w:hAnsi="Palatino Linotype"/>
          <w:lang w:val="en-GB"/>
        </w:rPr>
        <w:t xml:space="preserve"> 8:1</w:t>
      </w:r>
      <w:r w:rsidRPr="006F126F">
        <w:rPr>
          <w:rFonts w:ascii="Palatino Linotype" w:hAnsi="Palatino Linotype"/>
          <w:i/>
          <w:lang w:val="en-GB"/>
        </w:rPr>
        <w:t xml:space="preserve"> </w:t>
      </w:r>
      <w:r w:rsidRPr="006F126F">
        <w:rPr>
          <w:rFonts w:ascii="Palatino Linotype" w:hAnsi="Palatino Linotype"/>
          <w:lang w:val="en-GB"/>
        </w:rPr>
        <w:t>(1998): 133.</w:t>
      </w:r>
    </w:p>
  </w:footnote>
  <w:footnote w:id="10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Richard D. Shiels, ‘The Feminization of American Congregationalism, 1730-1835’, </w:t>
      </w:r>
      <w:r w:rsidRPr="006F126F">
        <w:rPr>
          <w:rFonts w:ascii="Palatino Linotype" w:hAnsi="Palatino Linotype"/>
          <w:i/>
          <w:lang w:val="en-GB"/>
        </w:rPr>
        <w:t>American Quarterly</w:t>
      </w:r>
      <w:r w:rsidRPr="006F126F">
        <w:rPr>
          <w:rFonts w:ascii="Palatino Linotype" w:hAnsi="Palatino Linotype"/>
          <w:lang w:val="en-GB"/>
        </w:rPr>
        <w:t>, 33:1</w:t>
      </w:r>
      <w:r w:rsidRPr="006F126F">
        <w:rPr>
          <w:rFonts w:ascii="Palatino Linotype" w:hAnsi="Palatino Linotype"/>
          <w:i/>
          <w:lang w:val="en-GB"/>
        </w:rPr>
        <w:t xml:space="preserve"> </w:t>
      </w:r>
      <w:r w:rsidRPr="006F126F">
        <w:rPr>
          <w:rFonts w:ascii="Palatino Linotype" w:hAnsi="Palatino Linotype"/>
          <w:lang w:val="en-GB"/>
        </w:rPr>
        <w:t>(1981): 46-62.</w:t>
      </w:r>
    </w:p>
  </w:footnote>
  <w:footnote w:id="102">
    <w:p w:rsidR="008A3BC5" w:rsidRPr="006F126F" w:rsidRDefault="008A3BC5" w:rsidP="001761FF">
      <w:pPr>
        <w:pStyle w:val="FootnoteText"/>
        <w:ind w:left="90" w:hanging="90"/>
        <w:jc w:val="both"/>
        <w:rPr>
          <w:rFonts w:ascii="Palatino Linotype" w:hAnsi="Palatino Linotype"/>
        </w:rPr>
      </w:pPr>
      <w:r w:rsidRPr="006F126F">
        <w:rPr>
          <w:rStyle w:val="FootnoteReference"/>
          <w:rFonts w:ascii="Palatino Linotype" w:hAnsi="Palatino Linotype"/>
        </w:rPr>
        <w:footnoteRef/>
      </w:r>
      <w:r w:rsidRPr="006F126F">
        <w:rPr>
          <w:rFonts w:ascii="Palatino Linotype" w:hAnsi="Palatino Linotype"/>
          <w:lang w:val="en-GB"/>
        </w:rPr>
        <w:t xml:space="preserve"> A schism tore apart the Congregational Church of Worcester, Massachusetts in the late 1810, when three wealthy women who, after they were denied access to the pastoral selection committee, rejected the authority of a new pastor and started a rival congregation. Lawes, ‘Trifling with Holy Time’: 119.</w:t>
      </w:r>
    </w:p>
  </w:footnote>
  <w:footnote w:id="10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Jane Haggis, ‘White Women and Colonialism: Towards a Non-Recuperative History’, [1998], in: R. Lewis and S. Mills</w:t>
      </w:r>
      <w:r w:rsidRPr="006F126F">
        <w:rPr>
          <w:rFonts w:ascii="Palatino Linotype" w:hAnsi="Palatino Linotype"/>
          <w:i/>
          <w:lang w:val="en-GB"/>
        </w:rPr>
        <w:t xml:space="preserve"> </w:t>
      </w:r>
      <w:r w:rsidRPr="006F126F">
        <w:rPr>
          <w:rFonts w:ascii="Palatino Linotype" w:hAnsi="Palatino Linotype"/>
          <w:lang w:val="en-GB"/>
        </w:rPr>
        <w:t xml:space="preserve">(eds.), </w:t>
      </w:r>
      <w:r w:rsidRPr="006F126F">
        <w:rPr>
          <w:rFonts w:ascii="Palatino Linotype" w:hAnsi="Palatino Linotype"/>
          <w:i/>
          <w:lang w:val="en-GB"/>
        </w:rPr>
        <w:t xml:space="preserve">Feminist Postcolonial Theory: A Reader </w:t>
      </w:r>
      <w:r w:rsidRPr="006F126F">
        <w:rPr>
          <w:rFonts w:ascii="Palatino Linotype" w:hAnsi="Palatino Linotype"/>
          <w:lang w:val="en-GB"/>
        </w:rPr>
        <w:t>(New York: Routledge, 2003): 180.</w:t>
      </w:r>
    </w:p>
  </w:footnote>
  <w:footnote w:id="10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Lawes, ‘Trifling with Holy Time’: 127.</w:t>
      </w:r>
    </w:p>
  </w:footnote>
  <w:footnote w:id="10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Hooker, </w:t>
      </w:r>
      <w:r w:rsidRPr="006F126F">
        <w:rPr>
          <w:rFonts w:ascii="Palatino Linotype" w:hAnsi="Palatino Linotype"/>
          <w:i/>
          <w:lang w:val="en-GB"/>
        </w:rPr>
        <w:t>MSLS</w:t>
      </w:r>
      <w:r w:rsidRPr="006F126F">
        <w:rPr>
          <w:rFonts w:ascii="Palatino Linotype" w:hAnsi="Palatino Linotype"/>
          <w:lang w:val="en-GB"/>
        </w:rPr>
        <w:t>: 13.</w:t>
      </w:r>
    </w:p>
  </w:footnote>
  <w:footnote w:id="10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Beecher, ‘An Essay on the Education of Female Teachers’: 70.</w:t>
      </w:r>
    </w:p>
  </w:footnote>
  <w:footnote w:id="10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Catharine Beecher actively promoted a specific type of female education that emphasised domestic training, given primarily by the mother but refined by a seminary. Catharine E. Beecher, </w:t>
      </w:r>
      <w:r w:rsidRPr="006F126F">
        <w:rPr>
          <w:rFonts w:ascii="Palatino Linotype" w:hAnsi="Palatino Linotype"/>
          <w:i/>
          <w:lang w:val="en-GB"/>
        </w:rPr>
        <w:t xml:space="preserve">Treatise on Domestic Economy, For the use of Young Ladies at Home, and at School </w:t>
      </w:r>
      <w:r w:rsidRPr="006F126F">
        <w:rPr>
          <w:rFonts w:ascii="Palatino Linotype" w:hAnsi="Palatino Linotype"/>
          <w:lang w:val="en-GB"/>
        </w:rPr>
        <w:t>(Revised Edition)</w:t>
      </w:r>
      <w:r w:rsidRPr="006F126F">
        <w:rPr>
          <w:rFonts w:ascii="Palatino Linotype" w:hAnsi="Palatino Linotype"/>
          <w:i/>
          <w:lang w:val="en-GB"/>
        </w:rPr>
        <w:t xml:space="preserve"> </w:t>
      </w:r>
      <w:r w:rsidRPr="006F126F">
        <w:rPr>
          <w:rFonts w:ascii="Palatino Linotype" w:hAnsi="Palatino Linotype"/>
          <w:lang w:val="en-GB"/>
        </w:rPr>
        <w:t xml:space="preserve">(New York: Harper and Brothers, Publishers, 1854): 48-67; </w:t>
      </w:r>
      <w:r>
        <w:rPr>
          <w:rFonts w:ascii="Palatino Linotype" w:hAnsi="Palatino Linotype"/>
          <w:lang w:val="en-GB"/>
        </w:rPr>
        <w:t>Kleinberg</w:t>
      </w:r>
      <w:r w:rsidRPr="006F126F">
        <w:rPr>
          <w:rFonts w:ascii="Palatino Linotype" w:hAnsi="Palatino Linotype"/>
          <w:lang w:val="en-GB"/>
        </w:rPr>
        <w:t xml:space="preserve">, </w:t>
      </w:r>
      <w:r w:rsidRPr="006F126F">
        <w:rPr>
          <w:rFonts w:ascii="Palatino Linotype" w:hAnsi="Palatino Linotype"/>
          <w:i/>
          <w:lang w:val="en-GB"/>
        </w:rPr>
        <w:t>Women in the United States</w:t>
      </w:r>
      <w:r w:rsidRPr="006F126F">
        <w:rPr>
          <w:rFonts w:ascii="Palatino Linotype" w:hAnsi="Palatino Linotype"/>
          <w:lang w:val="en-GB"/>
        </w:rPr>
        <w:t>: 62-65.</w:t>
      </w:r>
    </w:p>
  </w:footnote>
  <w:footnote w:id="10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Joseph F. Kett, ‘The Stages of Life’, in: M. Gordon</w:t>
      </w:r>
      <w:r w:rsidRPr="006F126F">
        <w:rPr>
          <w:rFonts w:ascii="Palatino Linotype" w:hAnsi="Palatino Linotype"/>
          <w:i/>
          <w:lang w:val="en-GB"/>
        </w:rPr>
        <w:t xml:space="preserve"> </w:t>
      </w:r>
      <w:r w:rsidRPr="006F126F">
        <w:rPr>
          <w:rFonts w:ascii="Palatino Linotype" w:hAnsi="Palatino Linotype"/>
          <w:lang w:val="en-GB"/>
        </w:rPr>
        <w:t xml:space="preserve">(ed.), </w:t>
      </w:r>
      <w:r w:rsidRPr="006F126F">
        <w:rPr>
          <w:rFonts w:ascii="Palatino Linotype" w:hAnsi="Palatino Linotype"/>
          <w:i/>
          <w:lang w:val="en-GB"/>
        </w:rPr>
        <w:t xml:space="preserve">The American Family in Social-Historical Perspective </w:t>
      </w:r>
      <w:r w:rsidRPr="006F126F">
        <w:rPr>
          <w:rFonts w:ascii="Palatino Linotype" w:hAnsi="Palatino Linotype"/>
          <w:lang w:val="en-GB"/>
        </w:rPr>
        <w:t>(Second Edition)</w:t>
      </w:r>
      <w:r w:rsidRPr="006F126F">
        <w:rPr>
          <w:rFonts w:ascii="Palatino Linotype" w:hAnsi="Palatino Linotype"/>
          <w:i/>
          <w:lang w:val="en-GB"/>
        </w:rPr>
        <w:t xml:space="preserve"> </w:t>
      </w:r>
      <w:r w:rsidRPr="006F126F">
        <w:rPr>
          <w:rFonts w:ascii="Palatino Linotype" w:hAnsi="Palatino Linotype"/>
          <w:lang w:val="en-GB"/>
        </w:rPr>
        <w:t>(New York: St. Martin’s Press, 1978): 171-176.</w:t>
      </w:r>
    </w:p>
  </w:footnote>
  <w:footnote w:id="10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Dana L. Robert, </w:t>
      </w:r>
      <w:r w:rsidRPr="006F126F">
        <w:rPr>
          <w:rFonts w:ascii="Palatino Linotype" w:hAnsi="Palatino Linotype"/>
          <w:i/>
          <w:lang w:val="en-GB"/>
        </w:rPr>
        <w:t xml:space="preserve">American Women in Mission: A Social History of their Thought and Practice: The Modern Mission Era, 1792-1992: An Appraisal </w:t>
      </w:r>
      <w:r w:rsidRPr="006F126F">
        <w:rPr>
          <w:rFonts w:ascii="Palatino Linotype" w:hAnsi="Palatino Linotype"/>
          <w:lang w:val="en-GB"/>
        </w:rPr>
        <w:t xml:space="preserve">(Macon, Georgia: Mercer University Press., 1996): 97; Hill, </w:t>
      </w:r>
      <w:r w:rsidRPr="006F126F">
        <w:rPr>
          <w:rFonts w:ascii="Palatino Linotype" w:hAnsi="Palatino Linotype"/>
          <w:i/>
          <w:lang w:val="en-GB"/>
        </w:rPr>
        <w:t>The World Their Household</w:t>
      </w:r>
      <w:r w:rsidRPr="006F126F">
        <w:rPr>
          <w:rFonts w:ascii="Palatino Linotype" w:hAnsi="Palatino Linotype"/>
          <w:lang w:val="en-GB"/>
        </w:rPr>
        <w:t xml:space="preserve">: 42-43; Mary Kelly, ‘Reading Women/Women Reading: The Making of Learned Women in Antebellum America’, </w:t>
      </w:r>
      <w:r w:rsidRPr="006F126F">
        <w:rPr>
          <w:rFonts w:ascii="Palatino Linotype" w:hAnsi="Palatino Linotype"/>
          <w:i/>
          <w:lang w:val="en-GB"/>
        </w:rPr>
        <w:t>The Journal of American History</w:t>
      </w:r>
      <w:r w:rsidRPr="006F126F">
        <w:rPr>
          <w:rFonts w:ascii="Palatino Linotype" w:hAnsi="Palatino Linotype"/>
          <w:lang w:val="en-GB"/>
        </w:rPr>
        <w:t xml:space="preserve">, 83: 2 (1996): 404, 415-419; Westerkamp, </w:t>
      </w:r>
      <w:r w:rsidRPr="006F126F">
        <w:rPr>
          <w:rFonts w:ascii="Palatino Linotype" w:hAnsi="Palatino Linotype"/>
          <w:i/>
          <w:lang w:val="en-GB"/>
        </w:rPr>
        <w:t>Women and Religion in Early America</w:t>
      </w:r>
      <w:r w:rsidRPr="006F126F">
        <w:rPr>
          <w:rFonts w:ascii="Palatino Linotype" w:hAnsi="Palatino Linotype"/>
          <w:lang w:val="en-GB"/>
        </w:rPr>
        <w:t>: 147-148.</w:t>
      </w:r>
    </w:p>
  </w:footnote>
  <w:footnote w:id="11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McCoy, ‘The Women of the ABCFM Oregon Mission’: 73.</w:t>
      </w:r>
    </w:p>
  </w:footnote>
  <w:footnote w:id="11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sidRPr="00265F64">
        <w:rPr>
          <w:rFonts w:ascii="Palatino Linotype" w:hAnsi="Palatino Linotype"/>
          <w:lang w:val="en-GB"/>
        </w:rPr>
        <w:t>For literacy rates see note 91.</w:t>
      </w:r>
      <w:r>
        <w:rPr>
          <w:rFonts w:ascii="Palatino Linotype" w:hAnsi="Palatino Linotype"/>
          <w:lang w:val="en-GB"/>
        </w:rPr>
        <w:t xml:space="preserve"> </w:t>
      </w:r>
      <w:r w:rsidRPr="006F126F">
        <w:rPr>
          <w:rFonts w:ascii="Palatino Linotype" w:hAnsi="Palatino Linotype"/>
          <w:lang w:val="en-GB"/>
        </w:rPr>
        <w:t xml:space="preserve">Michie and Thomas, </w:t>
      </w:r>
      <w:r w:rsidRPr="006F126F">
        <w:rPr>
          <w:rFonts w:ascii="Palatino Linotype" w:hAnsi="Palatino Linotype"/>
          <w:i/>
          <w:lang w:val="en-GB"/>
        </w:rPr>
        <w:t>NCG</w:t>
      </w:r>
      <w:r w:rsidRPr="006F126F">
        <w:rPr>
          <w:rFonts w:ascii="Palatino Linotype" w:hAnsi="Palatino Linotype"/>
          <w:lang w:val="en-GB"/>
        </w:rPr>
        <w:t>: 2, 10.</w:t>
      </w:r>
      <w:r>
        <w:rPr>
          <w:rFonts w:ascii="Palatino Linotype" w:hAnsi="Palatino Linotype"/>
          <w:lang w:val="en-GB"/>
        </w:rPr>
        <w:t xml:space="preserve"> </w:t>
      </w:r>
    </w:p>
  </w:footnote>
  <w:footnote w:id="11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Zagumny and Pulsipher, ‘The Races and Conditions of Men’: 413-414.  e.g. Bliss, </w:t>
      </w:r>
      <w:r w:rsidRPr="006F126F">
        <w:rPr>
          <w:rFonts w:ascii="Palatino Linotype" w:hAnsi="Palatino Linotype"/>
          <w:i/>
          <w:lang w:val="en-GB"/>
        </w:rPr>
        <w:t>Analysis of Geography</w:t>
      </w:r>
      <w:r w:rsidRPr="006F126F">
        <w:rPr>
          <w:rFonts w:ascii="Palatino Linotype" w:hAnsi="Palatino Linotype"/>
          <w:lang w:val="en-GB"/>
        </w:rPr>
        <w:t xml:space="preserve">: 33-37. For examples of how maps and atlases were used at home see Harriet Beecher Stowe, </w:t>
      </w:r>
      <w:r w:rsidRPr="006F126F">
        <w:rPr>
          <w:rFonts w:ascii="Palatino Linotype" w:hAnsi="Palatino Linotype"/>
          <w:i/>
          <w:lang w:val="en-GB"/>
        </w:rPr>
        <w:t>Uncle Tom’s Cabin or, Life Among the Lowly</w:t>
      </w:r>
      <w:r w:rsidRPr="006F126F">
        <w:rPr>
          <w:rFonts w:ascii="Palatino Linotype" w:hAnsi="Palatino Linotype"/>
          <w:lang w:val="en-GB"/>
        </w:rPr>
        <w:t xml:space="preserve"> [1852] (ed. Ann Douglas) (New York: Penguin, 1981): 245; Hooker, </w:t>
      </w:r>
      <w:r w:rsidRPr="006F126F">
        <w:rPr>
          <w:rFonts w:ascii="Palatino Linotype" w:hAnsi="Palatino Linotype"/>
          <w:i/>
          <w:lang w:val="en-GB"/>
        </w:rPr>
        <w:t>MSLS</w:t>
      </w:r>
      <w:r w:rsidRPr="006F126F">
        <w:rPr>
          <w:rFonts w:ascii="Palatino Linotype" w:hAnsi="Palatino Linotype"/>
          <w:lang w:val="en-GB"/>
        </w:rPr>
        <w:t>: 78.</w:t>
      </w:r>
    </w:p>
  </w:footnote>
  <w:footnote w:id="113">
    <w:p w:rsidR="008A3BC5" w:rsidRPr="006F126F" w:rsidRDefault="008A3BC5" w:rsidP="001761FF">
      <w:pPr>
        <w:pStyle w:val="FootnoteText"/>
        <w:ind w:left="90" w:hanging="90"/>
        <w:jc w:val="both"/>
        <w:rPr>
          <w:rFonts w:ascii="Palatino Linotype" w:hAnsi="Palatino Linotype"/>
        </w:rPr>
      </w:pPr>
      <w:r w:rsidRPr="006F126F">
        <w:rPr>
          <w:rStyle w:val="FootnoteReference"/>
          <w:rFonts w:ascii="Palatino Linotype" w:hAnsi="Palatino Linotype"/>
        </w:rPr>
        <w:footnoteRef/>
      </w:r>
      <w:r w:rsidRPr="006F126F">
        <w:rPr>
          <w:rFonts w:ascii="Palatino Linotype" w:hAnsi="Palatino Linotype"/>
        </w:rPr>
        <w:t xml:space="preserve"> </w:t>
      </w:r>
      <w:r w:rsidRPr="006F126F">
        <w:rPr>
          <w:rFonts w:ascii="Palatino Linotype" w:hAnsi="Palatino Linotype"/>
          <w:lang w:val="en-GB"/>
        </w:rPr>
        <w:t>Zagumny and Lydia Miheli Pulsipher, ‘”The Races and Conditions of Men”: 411.</w:t>
      </w:r>
    </w:p>
  </w:footnote>
  <w:footnote w:id="11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e.g. Jenks, </w:t>
      </w:r>
      <w:r w:rsidRPr="006F126F">
        <w:rPr>
          <w:rFonts w:ascii="Palatino Linotype" w:hAnsi="Palatino Linotype"/>
          <w:i/>
          <w:lang w:val="en-GB"/>
        </w:rPr>
        <w:t>Explanatory Bible Atlas and Scripture Gazetteer</w:t>
      </w:r>
      <w:r w:rsidRPr="006F126F">
        <w:rPr>
          <w:rFonts w:ascii="Palatino Linotype" w:hAnsi="Palatino Linotype"/>
          <w:lang w:val="en-GB"/>
        </w:rPr>
        <w:t xml:space="preserve">: 97-98.  Ronald R. Thomas, ‘The Home of Time: The Prime Meridian, the Dome of the Millennium, and Postnational Space’, in: Michie and Thomas, </w:t>
      </w:r>
      <w:r w:rsidRPr="006F126F">
        <w:rPr>
          <w:rFonts w:ascii="Palatino Linotype" w:hAnsi="Palatino Linotype"/>
          <w:i/>
          <w:lang w:val="en-GB"/>
        </w:rPr>
        <w:t>NCG</w:t>
      </w:r>
      <w:r w:rsidRPr="006F126F">
        <w:rPr>
          <w:rFonts w:ascii="Palatino Linotype" w:hAnsi="Palatino Linotype"/>
          <w:lang w:val="en-GB"/>
        </w:rPr>
        <w:t>: 23-39.</w:t>
      </w:r>
    </w:p>
  </w:footnote>
  <w:footnote w:id="11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Lipscomb, ‘“Water Leaves No Trail”’: 55-59; Kelly, ‘Reading Women/Women Reading: 402-403.</w:t>
      </w:r>
    </w:p>
  </w:footnote>
  <w:footnote w:id="11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Beecher, ‘The Autobiography of Lyman Beecher’: 51-62; Constance Rouke, </w:t>
      </w:r>
      <w:r w:rsidRPr="006F126F">
        <w:rPr>
          <w:rFonts w:ascii="Palatino Linotype" w:hAnsi="Palatino Linotype"/>
          <w:i/>
          <w:lang w:val="en-GB"/>
        </w:rPr>
        <w:t xml:space="preserve">Trumpets of Jubilee: Henry Ward Beecher, Harried Beecher Stowe, Lyman Beecher, Horace Greely, P.T. Barnum </w:t>
      </w:r>
      <w:r w:rsidRPr="006F126F">
        <w:rPr>
          <w:rFonts w:ascii="Palatino Linotype" w:hAnsi="Palatino Linotype"/>
          <w:lang w:val="en-GB"/>
        </w:rPr>
        <w:t>(New York and Burlingame: Harcourt, Brace &amp; World</w:t>
      </w:r>
      <w:r w:rsidRPr="006F126F">
        <w:rPr>
          <w:rFonts w:ascii="Palatino Linotype" w:hAnsi="Palatino Linotype"/>
          <w:i/>
          <w:lang w:val="en-GB"/>
        </w:rPr>
        <w:t xml:space="preserve">, </w:t>
      </w:r>
      <w:r w:rsidRPr="006F126F">
        <w:rPr>
          <w:rFonts w:ascii="Palatino Linotype" w:hAnsi="Palatino Linotype"/>
          <w:lang w:val="en-GB"/>
        </w:rPr>
        <w:t>1963): 18-19.</w:t>
      </w:r>
    </w:p>
  </w:footnote>
  <w:footnote w:id="11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Novel reading was often regarded as a potentially dangerous form of enjoyment that should be regulated by teachers and clergymen. Beecher, </w:t>
      </w:r>
      <w:r w:rsidRPr="006F126F">
        <w:rPr>
          <w:rFonts w:ascii="Palatino Linotype" w:hAnsi="Palatino Linotype"/>
          <w:i/>
          <w:lang w:val="en-GB"/>
        </w:rPr>
        <w:t>Treatise on Domestic Economy</w:t>
      </w:r>
      <w:r w:rsidRPr="006F126F">
        <w:rPr>
          <w:rFonts w:ascii="Palatino Linotype" w:hAnsi="Palatino Linotype"/>
          <w:lang w:val="en-GB"/>
        </w:rPr>
        <w:t xml:space="preserve">: 249-251; Kelly, ‘Reading Women/Women Reading’: 419 note 38, 420; Roberts, ‘Locating Popular Religion’: 261; Diana Walsh Pasulka, ‘A Communion of Little Saints: Nineteenth-Century American Child Hagiographies’, </w:t>
      </w:r>
      <w:r w:rsidRPr="006F126F">
        <w:rPr>
          <w:rFonts w:ascii="Palatino Linotype" w:hAnsi="Palatino Linotype"/>
          <w:i/>
          <w:lang w:val="en-GB"/>
        </w:rPr>
        <w:t>Journal of Feminist Studies in Religion</w:t>
      </w:r>
      <w:r w:rsidRPr="006F126F">
        <w:rPr>
          <w:rFonts w:ascii="Palatino Linotype" w:hAnsi="Palatino Linotype"/>
          <w:lang w:val="en-GB"/>
        </w:rPr>
        <w:t>, 23:2 (2007): 55-56.</w:t>
      </w:r>
    </w:p>
  </w:footnote>
  <w:footnote w:id="11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Roberts, ‘Locating Popular Religion’.</w:t>
      </w:r>
    </w:p>
  </w:footnote>
  <w:footnote w:id="11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Roberts, ‘Locating Popular Religion’: 262-263.</w:t>
      </w:r>
    </w:p>
  </w:footnote>
  <w:footnote w:id="12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William W. Stowe, ‘Conventions and Voices in Margaret Fuller's Travel Writing’, </w:t>
      </w:r>
      <w:r w:rsidRPr="006F126F">
        <w:rPr>
          <w:rFonts w:ascii="Palatino Linotype" w:hAnsi="Palatino Linotype"/>
          <w:i/>
          <w:lang w:val="en-GB"/>
        </w:rPr>
        <w:t>American Literature</w:t>
      </w:r>
      <w:r w:rsidRPr="006F126F">
        <w:rPr>
          <w:rFonts w:ascii="Palatino Linotype" w:hAnsi="Palatino Linotype"/>
          <w:lang w:val="en-GB"/>
        </w:rPr>
        <w:t xml:space="preserve"> 63: 2 (1991): 244.</w:t>
      </w:r>
    </w:p>
  </w:footnote>
  <w:footnote w:id="12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Bayard Taylor </w:t>
      </w:r>
      <w:r w:rsidRPr="006F126F">
        <w:rPr>
          <w:rFonts w:ascii="Palatino Linotype" w:hAnsi="Palatino Linotype"/>
          <w:i/>
          <w:lang w:val="en-GB"/>
        </w:rPr>
        <w:t xml:space="preserve">Eldorado: or, Adventures in the Path of Empire </w:t>
      </w:r>
      <w:r w:rsidRPr="006F126F">
        <w:rPr>
          <w:rFonts w:ascii="Palatino Linotype" w:hAnsi="Palatino Linotype"/>
          <w:lang w:val="en-GB"/>
        </w:rPr>
        <w:t xml:space="preserve">(London: George Routledge, 1850); Alexis de Tocqueville, </w:t>
      </w:r>
      <w:r w:rsidRPr="006F126F">
        <w:rPr>
          <w:rFonts w:ascii="Palatino Linotype" w:hAnsi="Palatino Linotype"/>
          <w:i/>
          <w:lang w:val="en-GB"/>
        </w:rPr>
        <w:t xml:space="preserve">Democracy in America: Four Volumes </w:t>
      </w:r>
      <w:r w:rsidRPr="006F126F">
        <w:rPr>
          <w:rFonts w:ascii="Palatino Linotype" w:hAnsi="Palatino Linotype"/>
          <w:lang w:val="en-GB"/>
        </w:rPr>
        <w:t xml:space="preserve">(London: Saunders and Otley, 1835-1840); Bird, </w:t>
      </w:r>
      <w:r w:rsidRPr="006F126F">
        <w:rPr>
          <w:rFonts w:ascii="Palatino Linotype" w:hAnsi="Palatino Linotype"/>
          <w:i/>
          <w:lang w:val="en-GB"/>
        </w:rPr>
        <w:t xml:space="preserve">Aspects of Religion. </w:t>
      </w:r>
    </w:p>
  </w:footnote>
  <w:footnote w:id="12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Kayat, </w:t>
      </w:r>
      <w:r w:rsidRPr="006F126F">
        <w:rPr>
          <w:rFonts w:ascii="Palatino Linotype" w:hAnsi="Palatino Linotype"/>
          <w:i/>
          <w:lang w:val="en-GB"/>
        </w:rPr>
        <w:t>A Voice from Lebanon</w:t>
      </w:r>
      <w:r w:rsidRPr="006F126F">
        <w:rPr>
          <w:rFonts w:ascii="Palatino Linotype" w:hAnsi="Palatino Linotype"/>
          <w:lang w:val="en-GB"/>
        </w:rPr>
        <w:t xml:space="preserve">; Effendi, </w:t>
      </w:r>
      <w:r w:rsidRPr="006F126F">
        <w:rPr>
          <w:rFonts w:ascii="Palatino Linotype" w:hAnsi="Palatino Linotype"/>
          <w:i/>
          <w:lang w:val="en-GB"/>
        </w:rPr>
        <w:t>The Thistle and the Cedar of Lebanon</w:t>
      </w:r>
      <w:r w:rsidRPr="006F126F">
        <w:rPr>
          <w:rFonts w:ascii="Palatino Linotype" w:hAnsi="Palatino Linotype"/>
          <w:lang w:val="en-GB"/>
        </w:rPr>
        <w:t xml:space="preserve">; Wortabet, </w:t>
      </w:r>
      <w:r w:rsidRPr="006F126F">
        <w:rPr>
          <w:rFonts w:ascii="Palatino Linotype" w:hAnsi="Palatino Linotype"/>
          <w:i/>
          <w:lang w:val="en-GB"/>
        </w:rPr>
        <w:t>SS</w:t>
      </w:r>
      <w:r w:rsidRPr="006F126F">
        <w:rPr>
          <w:rFonts w:ascii="Palatino Linotype" w:hAnsi="Palatino Linotype"/>
          <w:lang w:val="en-GB"/>
        </w:rPr>
        <w:t>.</w:t>
      </w:r>
    </w:p>
  </w:footnote>
  <w:footnote w:id="12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Heleen Murre-van den </w:t>
      </w:r>
      <w:r>
        <w:rPr>
          <w:rFonts w:ascii="Palatino Linotype" w:hAnsi="Palatino Linotype"/>
          <w:lang w:val="en-GB"/>
        </w:rPr>
        <w:t>Berg</w:t>
      </w:r>
      <w:r w:rsidRPr="006F126F">
        <w:rPr>
          <w:rFonts w:ascii="Palatino Linotype" w:hAnsi="Palatino Linotype"/>
          <w:lang w:val="en-GB"/>
        </w:rPr>
        <w:t xml:space="preserve">, ‘William McClure Thomson’s </w:t>
      </w:r>
      <w:r w:rsidRPr="006F126F">
        <w:rPr>
          <w:rFonts w:ascii="Palatino Linotype" w:hAnsi="Palatino Linotype"/>
          <w:i/>
          <w:lang w:val="en-GB"/>
        </w:rPr>
        <w:t>The Land and the Book</w:t>
      </w:r>
      <w:r w:rsidRPr="006F126F">
        <w:rPr>
          <w:rFonts w:ascii="Palatino Linotype" w:hAnsi="Palatino Linotype"/>
          <w:lang w:val="en-GB"/>
        </w:rPr>
        <w:t xml:space="preserve"> (1859): Pilgrimage and Mission in Palestine’, in: Murre-van den </w:t>
      </w:r>
      <w:r>
        <w:rPr>
          <w:rFonts w:ascii="Palatino Linotype" w:hAnsi="Palatino Linotype"/>
          <w:lang w:val="en-GB"/>
        </w:rPr>
        <w:t>Berg</w:t>
      </w:r>
      <w:r w:rsidRPr="006F126F">
        <w:rPr>
          <w:rFonts w:ascii="Palatino Linotype" w:hAnsi="Palatino Linotype"/>
          <w:lang w:val="en-GB"/>
        </w:rPr>
        <w:t xml:space="preserve">, </w:t>
      </w:r>
      <w:r w:rsidRPr="006F126F">
        <w:rPr>
          <w:rFonts w:ascii="Palatino Linotype" w:hAnsi="Palatino Linotype"/>
          <w:i/>
          <w:lang w:val="en-GB"/>
        </w:rPr>
        <w:t>NFAL</w:t>
      </w:r>
      <w:r w:rsidRPr="006F126F">
        <w:rPr>
          <w:rFonts w:ascii="Palatino Linotype" w:hAnsi="Palatino Linotype"/>
          <w:lang w:val="en-GB"/>
        </w:rPr>
        <w:t xml:space="preserve">: 46; A catalogue of contemporary texts within this genre is printed in ‘Sampson Low, Son and Co.’s List of Publications’, in: Bird, </w:t>
      </w:r>
      <w:r w:rsidRPr="006F126F">
        <w:rPr>
          <w:rFonts w:ascii="Palatino Linotype" w:hAnsi="Palatino Linotype"/>
          <w:i/>
          <w:lang w:val="en-GB"/>
        </w:rPr>
        <w:t>Aspects of Religion</w:t>
      </w:r>
      <w:r w:rsidRPr="006F126F">
        <w:rPr>
          <w:rFonts w:ascii="Palatino Linotype" w:hAnsi="Palatino Linotype"/>
          <w:lang w:val="en-GB"/>
        </w:rPr>
        <w:t xml:space="preserve">: Addendum; Jones, </w:t>
      </w:r>
      <w:r w:rsidRPr="006F126F">
        <w:rPr>
          <w:rFonts w:ascii="Palatino Linotype" w:hAnsi="Palatino Linotype"/>
          <w:i/>
          <w:lang w:val="en-GB"/>
        </w:rPr>
        <w:t>Excursions to Cairo</w:t>
      </w:r>
      <w:r w:rsidRPr="006F126F">
        <w:rPr>
          <w:rFonts w:ascii="Palatino Linotype" w:hAnsi="Palatino Linotype"/>
          <w:lang w:val="en-GB"/>
        </w:rPr>
        <w:t xml:space="preserve">; Robinson and Smith, </w:t>
      </w:r>
      <w:r w:rsidRPr="006F126F">
        <w:rPr>
          <w:rFonts w:ascii="Palatino Linotype" w:hAnsi="Palatino Linotype"/>
          <w:i/>
          <w:lang w:val="en-GB"/>
        </w:rPr>
        <w:t>BR</w:t>
      </w:r>
      <w:r w:rsidRPr="006F126F">
        <w:rPr>
          <w:rFonts w:ascii="Palatino Linotype" w:hAnsi="Palatino Linotype"/>
          <w:lang w:val="en-GB"/>
        </w:rPr>
        <w:t xml:space="preserve">; John Mason Neal, </w:t>
      </w:r>
      <w:r w:rsidRPr="006F126F">
        <w:rPr>
          <w:rFonts w:ascii="Palatino Linotype" w:hAnsi="Palatino Linotype"/>
          <w:i/>
          <w:lang w:val="en-GB"/>
        </w:rPr>
        <w:t xml:space="preserve">A History of the Holy Eastern Church: Part I: General Introduction </w:t>
      </w:r>
      <w:r w:rsidRPr="006F126F">
        <w:rPr>
          <w:rFonts w:ascii="Palatino Linotype" w:hAnsi="Palatino Linotype"/>
          <w:lang w:val="en-GB"/>
        </w:rPr>
        <w:t xml:space="preserve">(London: Joseph Masters, Aldersgate-Street, 1850); Thomson, LB; Paton, </w:t>
      </w:r>
      <w:r w:rsidRPr="006F126F">
        <w:rPr>
          <w:rFonts w:ascii="Palatino Linotype" w:hAnsi="Palatino Linotype"/>
          <w:i/>
          <w:lang w:val="en-GB"/>
        </w:rPr>
        <w:t>The Modern Syrians</w:t>
      </w:r>
      <w:r w:rsidRPr="006F126F">
        <w:rPr>
          <w:rFonts w:ascii="Palatino Linotype" w:hAnsi="Palatino Linotype"/>
          <w:lang w:val="en-GB"/>
        </w:rPr>
        <w:t xml:space="preserve">; Lynch, </w:t>
      </w:r>
      <w:r w:rsidRPr="006F126F">
        <w:rPr>
          <w:rFonts w:ascii="Palatino Linotype" w:hAnsi="Palatino Linotype"/>
          <w:i/>
          <w:lang w:val="en-GB"/>
        </w:rPr>
        <w:t>Narrative of the United States'</w:t>
      </w:r>
      <w:r w:rsidRPr="006F126F">
        <w:rPr>
          <w:rFonts w:ascii="Palatino Linotype" w:hAnsi="Palatino Linotype"/>
          <w:lang w:val="en-GB"/>
        </w:rPr>
        <w:t xml:space="preserve">;  Churchill, </w:t>
      </w:r>
      <w:r w:rsidRPr="006F126F">
        <w:rPr>
          <w:rFonts w:ascii="Palatino Linotype" w:hAnsi="Palatino Linotype"/>
          <w:i/>
          <w:lang w:val="en-GB"/>
        </w:rPr>
        <w:t>Mount Lebanon</w:t>
      </w:r>
      <w:r w:rsidRPr="006F126F">
        <w:rPr>
          <w:rFonts w:ascii="Palatino Linotype" w:hAnsi="Palatino Linotype"/>
          <w:lang w:val="en-GB"/>
        </w:rPr>
        <w:t xml:space="preserve">; Chasseaud, </w:t>
      </w:r>
      <w:r w:rsidRPr="006F126F">
        <w:rPr>
          <w:rFonts w:ascii="Palatino Linotype" w:hAnsi="Palatino Linotype"/>
          <w:i/>
          <w:lang w:val="en-GB"/>
        </w:rPr>
        <w:t>The Druses of the Lebanon</w:t>
      </w:r>
      <w:r w:rsidRPr="006F126F">
        <w:rPr>
          <w:rFonts w:ascii="Palatino Linotype" w:hAnsi="Palatino Linotype"/>
          <w:lang w:val="en-GB"/>
        </w:rPr>
        <w:t xml:space="preserve">: </w:t>
      </w:r>
      <w:r w:rsidRPr="006F126F">
        <w:rPr>
          <w:rFonts w:ascii="Palatino Linotype" w:hAnsi="Palatino Linotype"/>
          <w:i/>
          <w:lang w:val="en-GB"/>
        </w:rPr>
        <w:t>Their Manners</w:t>
      </w:r>
      <w:r w:rsidRPr="006F126F">
        <w:rPr>
          <w:rFonts w:ascii="Palatino Linotype" w:hAnsi="Palatino Linotype"/>
          <w:lang w:val="en-GB"/>
        </w:rPr>
        <w:t>.</w:t>
      </w:r>
    </w:p>
  </w:footnote>
  <w:footnote w:id="12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Michie and Thomas, </w:t>
      </w:r>
      <w:r w:rsidRPr="006F126F">
        <w:rPr>
          <w:rFonts w:ascii="Palatino Linotype" w:hAnsi="Palatino Linotype"/>
          <w:i/>
          <w:lang w:val="en-GB"/>
        </w:rPr>
        <w:t>NCG</w:t>
      </w:r>
      <w:r w:rsidRPr="006F126F">
        <w:rPr>
          <w:rFonts w:ascii="Palatino Linotype" w:hAnsi="Palatino Linotype"/>
          <w:lang w:val="en-GB"/>
        </w:rPr>
        <w:t>: 1-2.</w:t>
      </w:r>
    </w:p>
  </w:footnote>
  <w:footnote w:id="12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Wortabet, </w:t>
      </w:r>
      <w:r w:rsidRPr="006F126F">
        <w:rPr>
          <w:rFonts w:ascii="Palatino Linotype" w:hAnsi="Palatino Linotype"/>
          <w:i/>
          <w:lang w:val="en-GB"/>
        </w:rPr>
        <w:t>SS.</w:t>
      </w:r>
    </w:p>
  </w:footnote>
  <w:footnote w:id="12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Pr>
          <w:rFonts w:ascii="Palatino Linotype" w:hAnsi="Palatino Linotype"/>
          <w:lang w:val="en-GB"/>
        </w:rPr>
        <w:t>This law recognised</w:t>
      </w:r>
      <w:r w:rsidRPr="00CC1B47">
        <w:rPr>
          <w:rFonts w:ascii="Palatino Linotype" w:hAnsi="Palatino Linotype"/>
          <w:lang w:val="en-GB"/>
        </w:rPr>
        <w:t xml:space="preserve"> children born to naturalised citizens living abroad </w:t>
      </w:r>
      <w:r>
        <w:rPr>
          <w:rFonts w:ascii="Palatino Linotype" w:hAnsi="Palatino Linotype"/>
          <w:lang w:val="en-GB"/>
        </w:rPr>
        <w:t>as</w:t>
      </w:r>
      <w:r w:rsidRPr="00CC1B47">
        <w:rPr>
          <w:rFonts w:ascii="Palatino Linotype" w:hAnsi="Palatino Linotype"/>
          <w:lang w:val="en-GB"/>
        </w:rPr>
        <w:t xml:space="preserve"> American citizens</w:t>
      </w:r>
      <w:r>
        <w:rPr>
          <w:rFonts w:ascii="Palatino Linotype" w:hAnsi="Palatino Linotype"/>
          <w:lang w:val="en-GB"/>
        </w:rPr>
        <w:t>.</w:t>
      </w:r>
      <w:r w:rsidRPr="00CC1B47">
        <w:rPr>
          <w:rFonts w:ascii="Palatino Linotype" w:hAnsi="Palatino Linotype"/>
          <w:lang w:val="en-GB"/>
        </w:rPr>
        <w:t xml:space="preserve"> </w:t>
      </w:r>
      <w:r w:rsidRPr="006F126F">
        <w:rPr>
          <w:rFonts w:ascii="Palatino Linotype" w:hAnsi="Palatino Linotype"/>
          <w:lang w:val="en-GB"/>
        </w:rPr>
        <w:t>Wald, ‘Terms of Assimilation’: 63.</w:t>
      </w:r>
    </w:p>
  </w:footnote>
  <w:footnote w:id="127">
    <w:p w:rsidR="008A3BC5" w:rsidRPr="006F126F" w:rsidRDefault="008A3BC5" w:rsidP="001761FF">
      <w:pPr>
        <w:pStyle w:val="FootnoteText"/>
        <w:ind w:left="90" w:hanging="90"/>
        <w:jc w:val="both"/>
        <w:rPr>
          <w:rFonts w:ascii="Palatino Linotype" w:hAnsi="Palatino Linotype"/>
        </w:rPr>
      </w:pPr>
      <w:r w:rsidRPr="006F126F">
        <w:rPr>
          <w:rStyle w:val="FootnoteReference"/>
          <w:rFonts w:ascii="Palatino Linotype" w:hAnsi="Palatino Linotype"/>
        </w:rPr>
        <w:footnoteRef/>
      </w:r>
      <w:r w:rsidRPr="006F126F">
        <w:rPr>
          <w:rFonts w:ascii="Palatino Linotype" w:hAnsi="Palatino Linotype"/>
        </w:rPr>
        <w:t xml:space="preserve"> </w:t>
      </w:r>
      <w:r>
        <w:rPr>
          <w:rFonts w:ascii="Palatino Linotype" w:hAnsi="Palatino Linotype"/>
        </w:rPr>
        <w:t xml:space="preserve">This was illustrated in the difficulties of the United States government at recovering the hundred American sailors who were abducted by Berber pirates in the late eighteenth century. </w:t>
      </w:r>
      <w:r w:rsidRPr="006F126F">
        <w:rPr>
          <w:rFonts w:ascii="Palatino Linotype" w:hAnsi="Palatino Linotype"/>
        </w:rPr>
        <w:t xml:space="preserve">Marr, </w:t>
      </w:r>
      <w:r w:rsidRPr="006F126F">
        <w:rPr>
          <w:rFonts w:ascii="Palatino Linotype" w:hAnsi="Palatino Linotype"/>
          <w:i/>
        </w:rPr>
        <w:t>Cultural Roots of American Islamicism</w:t>
      </w:r>
      <w:r w:rsidRPr="006F126F">
        <w:rPr>
          <w:rFonts w:ascii="Palatino Linotype" w:hAnsi="Palatino Linotype"/>
        </w:rPr>
        <w:t>: 29-34.</w:t>
      </w:r>
    </w:p>
  </w:footnote>
  <w:footnote w:id="128">
    <w:p w:rsidR="008A3BC5" w:rsidRPr="00006C7A"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e</w:t>
      </w:r>
      <w:r w:rsidRPr="006F126F">
        <w:rPr>
          <w:rFonts w:ascii="Palatino Linotype" w:hAnsi="Palatino Linotype"/>
        </w:rPr>
        <w:t xml:space="preserve">.g. n.s., ‘Passport given to the Rev. Samuel Cooper, American Catholic’, (n.s: 20 February 1824). [British] PRO: FO 615/5; </w:t>
      </w:r>
      <w:r w:rsidRPr="006F126F">
        <w:rPr>
          <w:rFonts w:ascii="Palatino Linotype" w:hAnsi="Palatino Linotype"/>
          <w:lang w:val="en-GB"/>
        </w:rPr>
        <w:t xml:space="preserve">Tibawi, </w:t>
      </w:r>
      <w:r w:rsidRPr="006F126F">
        <w:rPr>
          <w:rFonts w:ascii="Palatino Linotype" w:hAnsi="Palatino Linotype"/>
          <w:i/>
          <w:lang w:val="en-GB"/>
        </w:rPr>
        <w:t>American Interests in Syria</w:t>
      </w:r>
      <w:r w:rsidRPr="006F126F">
        <w:rPr>
          <w:rFonts w:ascii="Palatino Linotype" w:hAnsi="Palatino Linotype"/>
          <w:lang w:val="en-GB"/>
        </w:rPr>
        <w:t xml:space="preserve">: 4; R. Pierce Beaver, </w:t>
      </w:r>
      <w:r w:rsidRPr="006F126F">
        <w:rPr>
          <w:rFonts w:ascii="Palatino Linotype" w:hAnsi="Palatino Linotype"/>
          <w:i/>
          <w:lang w:val="en-GB"/>
        </w:rPr>
        <w:t xml:space="preserve">American Protestant Women in World Mission: A History of the First Feminist Movement in North </w:t>
      </w:r>
      <w:r w:rsidRPr="00006C7A">
        <w:rPr>
          <w:rFonts w:ascii="Palatino Linotype" w:hAnsi="Palatino Linotype"/>
          <w:i/>
          <w:lang w:val="en-GB"/>
        </w:rPr>
        <w:t xml:space="preserve">America, </w:t>
      </w:r>
      <w:r w:rsidRPr="00006C7A">
        <w:rPr>
          <w:rFonts w:ascii="Palatino Linotype" w:hAnsi="Palatino Linotype"/>
          <w:lang w:val="en-GB"/>
        </w:rPr>
        <w:t>(Grand Rapids, Michigan: William B. Eerdman, 1980): 49.</w:t>
      </w:r>
    </w:p>
  </w:footnote>
  <w:footnote w:id="129">
    <w:p w:rsidR="008A3BC5" w:rsidRDefault="008A3BC5" w:rsidP="001761FF">
      <w:pPr>
        <w:pStyle w:val="FootnoteText"/>
        <w:ind w:left="90" w:hanging="90"/>
        <w:jc w:val="both"/>
      </w:pPr>
      <w:r w:rsidRPr="00006C7A">
        <w:rPr>
          <w:rStyle w:val="FootnoteReference"/>
          <w:rFonts w:ascii="Palatino Linotype" w:hAnsi="Palatino Linotype"/>
        </w:rPr>
        <w:footnoteRef/>
      </w:r>
      <w:r w:rsidRPr="00006C7A">
        <w:rPr>
          <w:rFonts w:ascii="Palatino Linotype" w:hAnsi="Palatino Linotype"/>
        </w:rPr>
        <w:t xml:space="preserve"> Americans</w:t>
      </w:r>
      <w:r>
        <w:rPr>
          <w:rFonts w:ascii="Palatino Linotype" w:hAnsi="Palatino Linotype"/>
        </w:rPr>
        <w:t xml:space="preserve"> were previously under the diplomatic</w:t>
      </w:r>
      <w:r w:rsidRPr="00006C7A">
        <w:rPr>
          <w:rFonts w:ascii="Palatino Linotype" w:hAnsi="Palatino Linotype"/>
        </w:rPr>
        <w:t xml:space="preserve"> jurisdiction of Great Britain. See </w:t>
      </w:r>
      <w:r w:rsidRPr="00006C7A">
        <w:rPr>
          <w:rFonts w:ascii="Palatino Linotype" w:hAnsi="Palatino Linotype"/>
          <w:lang w:val="en-GB"/>
        </w:rPr>
        <w:t>Peter Abbott, ‘Patent Given to W. Jasper Chasseaud’</w:t>
      </w:r>
      <w:r w:rsidRPr="00006C7A">
        <w:rPr>
          <w:rFonts w:ascii="Palatino Linotype" w:hAnsi="Palatino Linotype"/>
          <w:i/>
          <w:lang w:val="en-GB"/>
        </w:rPr>
        <w:t xml:space="preserve"> </w:t>
      </w:r>
      <w:r w:rsidRPr="00006C7A">
        <w:rPr>
          <w:rFonts w:ascii="Palatino Linotype" w:hAnsi="Palatino Linotype"/>
          <w:lang w:val="en-GB"/>
        </w:rPr>
        <w:t xml:space="preserve">(Beirut: 1 January 1824), [British] PRO: FO 616/1; </w:t>
      </w:r>
      <w:r w:rsidRPr="00006C7A">
        <w:rPr>
          <w:rFonts w:ascii="Palatino Linotype" w:hAnsi="Palatino Linotype"/>
        </w:rPr>
        <w:t>n.s., ‘</w:t>
      </w:r>
      <w:r w:rsidRPr="00006C7A">
        <w:rPr>
          <w:rFonts w:ascii="Palatino Linotype" w:hAnsi="Palatino Linotype"/>
          <w:lang w:val="en-GB"/>
        </w:rPr>
        <w:t>Passport of Sheikh Assad and Rev. Sig. Isaac Bird’(</w:t>
      </w:r>
      <w:r w:rsidRPr="00006C7A">
        <w:rPr>
          <w:rFonts w:ascii="Palatino Linotype" w:hAnsi="Palatino Linotype"/>
        </w:rPr>
        <w:t xml:space="preserve">n.s., 21 December 1825): [British] PRO: FO 615/5; </w:t>
      </w:r>
      <w:r w:rsidRPr="00006C7A">
        <w:rPr>
          <w:rFonts w:ascii="Palatino Linotype" w:hAnsi="Palatino Linotype"/>
          <w:lang w:val="en-GB"/>
        </w:rPr>
        <w:t>Gabriel Chasseaud, ‘Notice of Death for Peter Abbott’</w:t>
      </w:r>
      <w:r w:rsidRPr="00006C7A">
        <w:rPr>
          <w:rFonts w:ascii="Palatino Linotype" w:hAnsi="Palatino Linotype"/>
          <w:i/>
          <w:lang w:val="en-GB"/>
        </w:rPr>
        <w:t xml:space="preserve"> </w:t>
      </w:r>
      <w:r w:rsidRPr="00006C7A">
        <w:rPr>
          <w:rFonts w:ascii="Palatino Linotype" w:hAnsi="Palatino Linotype"/>
          <w:lang w:val="en-GB"/>
        </w:rPr>
        <w:t>(Ehden: 18 July 1834), [British] PRO: FO 616/2.</w:t>
      </w:r>
    </w:p>
  </w:footnote>
  <w:footnote w:id="13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Tibawi, </w:t>
      </w:r>
      <w:r w:rsidRPr="006F126F">
        <w:rPr>
          <w:rFonts w:ascii="Palatino Linotype" w:hAnsi="Palatino Linotype"/>
          <w:i/>
          <w:lang w:val="en-GB"/>
        </w:rPr>
        <w:t>American Interests in Syria</w:t>
      </w:r>
      <w:r w:rsidRPr="006F126F">
        <w:rPr>
          <w:rFonts w:ascii="Palatino Linotype" w:hAnsi="Palatino Linotype"/>
          <w:lang w:val="en-GB"/>
        </w:rPr>
        <w:t xml:space="preserve">: 84; Caesar E. Farah, ‘Protestantism and British Diplomacy in Syria’, </w:t>
      </w:r>
      <w:r w:rsidRPr="006F126F">
        <w:rPr>
          <w:rFonts w:ascii="Palatino Linotype" w:hAnsi="Palatino Linotype"/>
          <w:i/>
          <w:lang w:val="en-GB"/>
        </w:rPr>
        <w:t>IJMES</w:t>
      </w:r>
      <w:r>
        <w:rPr>
          <w:rFonts w:ascii="Palatino Linotype" w:hAnsi="Palatino Linotype"/>
          <w:lang w:val="en-GB"/>
        </w:rPr>
        <w:t xml:space="preserve">, 7:3 (1976): 325 note 12; </w:t>
      </w:r>
      <w:r w:rsidRPr="002A4B19">
        <w:rPr>
          <w:rFonts w:ascii="Palatino Linotype" w:hAnsi="Palatino Linotype"/>
          <w:lang w:val="en-GB"/>
        </w:rPr>
        <w:t>Daniel Webster, ‘Letter to David Porter’</w:t>
      </w:r>
      <w:r w:rsidRPr="002A4B19">
        <w:rPr>
          <w:rFonts w:ascii="Palatino Linotype" w:hAnsi="Palatino Linotype"/>
          <w:i/>
          <w:lang w:val="en-GB"/>
        </w:rPr>
        <w:t xml:space="preserve"> </w:t>
      </w:r>
      <w:r w:rsidRPr="002A4B19">
        <w:rPr>
          <w:rFonts w:ascii="Palatino Linotype" w:hAnsi="Palatino Linotype"/>
          <w:lang w:val="en-GB"/>
        </w:rPr>
        <w:t xml:space="preserve">(Washington: 2 February 1842): HHL: </w:t>
      </w:r>
      <w:r>
        <w:rPr>
          <w:rFonts w:ascii="Palatino Linotype" w:hAnsi="Palatino Linotype"/>
          <w:lang w:val="en-GB"/>
        </w:rPr>
        <w:t>ABC 60 (</w:t>
      </w:r>
      <w:r w:rsidRPr="002A4B19">
        <w:rPr>
          <w:rFonts w:ascii="Palatino Linotype" w:hAnsi="Palatino Linotype"/>
          <w:lang w:val="en-GB"/>
        </w:rPr>
        <w:t>112</w:t>
      </w:r>
      <w:r>
        <w:rPr>
          <w:rFonts w:ascii="Palatino Linotype" w:hAnsi="Palatino Linotype"/>
          <w:lang w:val="en-GB"/>
        </w:rPr>
        <w:t>)</w:t>
      </w:r>
      <w:r w:rsidRPr="002A4B19">
        <w:rPr>
          <w:rFonts w:ascii="Palatino Linotype" w:hAnsi="Palatino Linotype"/>
          <w:lang w:val="en-GB"/>
        </w:rPr>
        <w:t>; Farah, ‘Protestantism and British Diplomacy’: 325</w:t>
      </w:r>
      <w:r>
        <w:rPr>
          <w:rFonts w:ascii="Palatino Linotype" w:hAnsi="Palatino Linotype"/>
          <w:lang w:val="en-GB"/>
        </w:rPr>
        <w:t>.</w:t>
      </w:r>
    </w:p>
  </w:footnote>
  <w:footnote w:id="13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George B. Whiting, ‘Letter to American Consulate’</w:t>
      </w:r>
      <w:r w:rsidRPr="006F126F">
        <w:rPr>
          <w:rFonts w:ascii="Palatino Linotype" w:hAnsi="Palatino Linotype"/>
          <w:i/>
          <w:lang w:val="en-GB"/>
        </w:rPr>
        <w:t xml:space="preserve"> </w:t>
      </w:r>
      <w:r w:rsidRPr="006F126F">
        <w:rPr>
          <w:rFonts w:ascii="Palatino Linotype" w:hAnsi="Palatino Linotype"/>
          <w:lang w:val="en-GB"/>
        </w:rPr>
        <w:t xml:space="preserve">(n.s., 6 December 1840): ABCFM microfilm Unit 5: Near East: Reel 540: 116-119A; </w:t>
      </w:r>
      <w:r>
        <w:rPr>
          <w:rFonts w:ascii="Palatino Linotype" w:hAnsi="Palatino Linotype"/>
          <w:lang w:val="en-GB"/>
        </w:rPr>
        <w:t>al-</w:t>
      </w:r>
      <w:r w:rsidRPr="006F126F">
        <w:rPr>
          <w:rFonts w:ascii="Palatino Linotype" w:hAnsi="Palatino Linotype"/>
          <w:lang w:val="en-GB"/>
        </w:rPr>
        <w:t>Bustani, ‘Private: Letter to Eli Smith’</w:t>
      </w:r>
      <w:r w:rsidRPr="006F126F">
        <w:rPr>
          <w:rFonts w:ascii="Palatino Linotype" w:hAnsi="Palatino Linotype"/>
          <w:i/>
          <w:lang w:val="en-GB"/>
        </w:rPr>
        <w:t xml:space="preserve"> </w:t>
      </w:r>
      <w:r w:rsidRPr="006F126F">
        <w:rPr>
          <w:rFonts w:ascii="Palatino Linotype" w:hAnsi="Palatino Linotype"/>
          <w:lang w:val="en-GB"/>
        </w:rPr>
        <w:t>(Beirut, 30 May 1856)</w:t>
      </w:r>
      <w:r>
        <w:rPr>
          <w:rFonts w:ascii="Palatino Linotype" w:hAnsi="Palatino Linotype"/>
          <w:lang w:val="en-GB"/>
        </w:rPr>
        <w:t xml:space="preserve">; </w:t>
      </w:r>
      <w:r w:rsidRPr="00BA763C">
        <w:rPr>
          <w:rFonts w:ascii="Palatino Linotype" w:hAnsi="Palatino Linotype"/>
          <w:lang w:val="en-GB"/>
        </w:rPr>
        <w:t>See the exchange of letters between Commodore Smith, Jasper Chasseaud, the ABCFM missionaries and Sheikh Effendi (July–October 1845): ABCFM microfilm U</w:t>
      </w:r>
      <w:r>
        <w:rPr>
          <w:rFonts w:ascii="Palatino Linotype" w:hAnsi="Palatino Linotype"/>
          <w:lang w:val="en-GB"/>
        </w:rPr>
        <w:t xml:space="preserve">nit 5: Near East: Reel 540: 78B; </w:t>
      </w:r>
      <w:r w:rsidRPr="00BA763C">
        <w:rPr>
          <w:rFonts w:ascii="Palatino Linotype" w:hAnsi="Palatino Linotype"/>
          <w:i/>
          <w:lang w:val="en-GB"/>
        </w:rPr>
        <w:t>MH</w:t>
      </w:r>
      <w:r w:rsidRPr="00BA763C">
        <w:rPr>
          <w:rFonts w:ascii="Palatino Linotype" w:hAnsi="Palatino Linotype"/>
          <w:lang w:val="en-GB"/>
        </w:rPr>
        <w:t xml:space="preserve"> (1843): 282-284.</w:t>
      </w:r>
    </w:p>
  </w:footnote>
  <w:footnote w:id="13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Tibawi, ‘The American Missionaries in Beirut’: 167. </w:t>
      </w:r>
    </w:p>
  </w:footnote>
  <w:footnote w:id="13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Lindner, ‘From Rebecca to the ‘Three Dancing Girls of Egypt’.</w:t>
      </w:r>
    </w:p>
  </w:footnote>
  <w:footnote w:id="13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Zagumny and Pulsipher, ‘The Races and Conditions of Men’: 411-429; Tony Bennett, ‘The Exhibitionary Complex’, in: N. Dirks, </w:t>
      </w:r>
      <w:r w:rsidRPr="006F126F">
        <w:rPr>
          <w:rFonts w:ascii="Palatino Linotype" w:hAnsi="Palatino Linotype"/>
          <w:i/>
          <w:lang w:val="en-GB"/>
        </w:rPr>
        <w:t>et al</w:t>
      </w:r>
      <w:r>
        <w:rPr>
          <w:rFonts w:ascii="Palatino Linotype" w:hAnsi="Palatino Linotype"/>
          <w:i/>
          <w:lang w:val="en-GB"/>
        </w:rPr>
        <w:t>,</w:t>
      </w:r>
      <w:r w:rsidRPr="006F126F">
        <w:rPr>
          <w:rFonts w:ascii="Palatino Linotype" w:hAnsi="Palatino Linotype"/>
          <w:i/>
          <w:lang w:val="en-GB"/>
        </w:rPr>
        <w:t xml:space="preserve"> </w:t>
      </w:r>
      <w:r w:rsidRPr="006F126F">
        <w:rPr>
          <w:rFonts w:ascii="Palatino Linotype" w:hAnsi="Palatino Linotype"/>
          <w:lang w:val="en-GB"/>
        </w:rPr>
        <w:t xml:space="preserve">(eds.), </w:t>
      </w:r>
      <w:r w:rsidRPr="006F126F">
        <w:rPr>
          <w:rFonts w:ascii="Palatino Linotype" w:hAnsi="Palatino Linotype"/>
          <w:i/>
          <w:lang w:val="en-GB"/>
        </w:rPr>
        <w:t>Culture/ Power/ History:</w:t>
      </w:r>
      <w:r w:rsidRPr="006F126F">
        <w:rPr>
          <w:rFonts w:ascii="Palatino Linotype" w:hAnsi="Palatino Linotype"/>
          <w:lang w:val="en-GB"/>
        </w:rPr>
        <w:t xml:space="preserve"> </w:t>
      </w:r>
      <w:r w:rsidRPr="006F126F">
        <w:rPr>
          <w:rFonts w:ascii="Palatino Linotype" w:hAnsi="Palatino Linotype"/>
          <w:i/>
          <w:lang w:val="en-GB"/>
        </w:rPr>
        <w:t xml:space="preserve">A Reader in Contemporary Social Theory </w:t>
      </w:r>
      <w:r w:rsidRPr="006F126F">
        <w:rPr>
          <w:rFonts w:ascii="Palatino Linotype" w:hAnsi="Palatino Linotype"/>
          <w:lang w:val="en-GB"/>
        </w:rPr>
        <w:t>(Princeton, New Jersey: Princeton University Press, 1994): 123-154; Lipscomb, ‘“Water Leaves No Trail”’: 55-73.</w:t>
      </w:r>
    </w:p>
  </w:footnote>
  <w:footnote w:id="135">
    <w:p w:rsidR="008A3BC5" w:rsidRPr="00CF44C6" w:rsidRDefault="008A3BC5" w:rsidP="001761FF">
      <w:pPr>
        <w:pStyle w:val="FootnoteText"/>
        <w:ind w:left="90" w:hanging="90"/>
        <w:jc w:val="both"/>
        <w:rPr>
          <w:rFonts w:ascii="Palatino Linotype" w:hAnsi="Palatino Linotype"/>
        </w:rPr>
      </w:pPr>
      <w:r w:rsidRPr="00CF44C6">
        <w:rPr>
          <w:rStyle w:val="FootnoteReference"/>
          <w:rFonts w:ascii="Palatino Linotype" w:hAnsi="Palatino Linotype"/>
        </w:rPr>
        <w:footnoteRef/>
      </w:r>
      <w:r w:rsidRPr="00CF44C6">
        <w:rPr>
          <w:rFonts w:ascii="Palatino Linotype" w:hAnsi="Palatino Linotype"/>
        </w:rPr>
        <w:t xml:space="preserve"> </w:t>
      </w:r>
      <w:r w:rsidRPr="00CF44C6">
        <w:rPr>
          <w:rFonts w:ascii="Palatino Linotype" w:hAnsi="Palatino Linotype"/>
          <w:lang w:val="en-GB"/>
        </w:rPr>
        <w:t>Although inquiries onto ‘American Orientalism’ have increased in recent years, this research tends to focus upon the late-nineteenth century, so that the material presented in this section grants new insights on</w:t>
      </w:r>
      <w:r>
        <w:rPr>
          <w:rFonts w:ascii="Palatino Linotype" w:hAnsi="Palatino Linotype"/>
          <w:lang w:val="en-GB"/>
        </w:rPr>
        <w:t>to</w:t>
      </w:r>
      <w:r w:rsidRPr="00CF44C6">
        <w:rPr>
          <w:rFonts w:ascii="Palatino Linotype" w:hAnsi="Palatino Linotype"/>
          <w:lang w:val="en-GB"/>
        </w:rPr>
        <w:t xml:space="preserve"> this discourse.  Holly Edwards</w:t>
      </w:r>
      <w:r>
        <w:rPr>
          <w:rFonts w:ascii="Palatino Linotype" w:hAnsi="Palatino Linotype"/>
          <w:lang w:val="en-GB"/>
        </w:rPr>
        <w:t>,</w:t>
      </w:r>
      <w:r w:rsidRPr="00CF44C6">
        <w:rPr>
          <w:rFonts w:ascii="Palatino Linotype" w:hAnsi="Palatino Linotype"/>
          <w:i/>
          <w:lang w:val="en-GB"/>
        </w:rPr>
        <w:t xml:space="preserve"> </w:t>
      </w:r>
      <w:r w:rsidRPr="00CF44C6">
        <w:rPr>
          <w:rFonts w:ascii="Palatino Linotype" w:hAnsi="Palatino Linotype"/>
          <w:lang w:val="en-GB"/>
        </w:rPr>
        <w:t xml:space="preserve">(ed.), </w:t>
      </w:r>
      <w:r w:rsidRPr="00CF44C6">
        <w:rPr>
          <w:rFonts w:ascii="Palatino Linotype" w:hAnsi="Palatino Linotype"/>
          <w:i/>
          <w:lang w:val="en-GB"/>
        </w:rPr>
        <w:t>Noble Dreams, Wicked Pleasures: O</w:t>
      </w:r>
      <w:r>
        <w:rPr>
          <w:rFonts w:ascii="Palatino Linotype" w:hAnsi="Palatino Linotype"/>
          <w:i/>
          <w:lang w:val="en-GB"/>
        </w:rPr>
        <w:t>rientalism in America, 1870-1930</w:t>
      </w:r>
      <w:r w:rsidRPr="00CF44C6">
        <w:rPr>
          <w:rFonts w:ascii="Palatino Linotype" w:hAnsi="Palatino Linotype"/>
          <w:lang w:val="en-GB"/>
        </w:rPr>
        <w:t xml:space="preserve"> (Princeton, New Jersey: Princeton University Press, 2000).</w:t>
      </w:r>
    </w:p>
  </w:footnote>
  <w:footnote w:id="13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e.g. Isaac Bird, ‘Letter to Rufus Anderson’</w:t>
      </w:r>
      <w:r w:rsidRPr="006F126F">
        <w:rPr>
          <w:rFonts w:ascii="Palatino Linotype" w:hAnsi="Palatino Linotype"/>
          <w:i/>
          <w:lang w:val="en-GB"/>
        </w:rPr>
        <w:t xml:space="preserve"> </w:t>
      </w:r>
      <w:r w:rsidRPr="006F126F">
        <w:rPr>
          <w:rFonts w:ascii="Palatino Linotype" w:hAnsi="Palatino Linotype"/>
          <w:lang w:val="en-GB"/>
        </w:rPr>
        <w:t>(Beirut, 27 May 1831): ABCFM microfilm Unit 5: Near East: Reel 537; William M. Thomson, ‘The Political Institutions of Lebanon and Their Probable Influences on the Prosperity of the Mission’</w:t>
      </w:r>
      <w:r w:rsidRPr="006F126F">
        <w:rPr>
          <w:rFonts w:ascii="Palatino Linotype" w:hAnsi="Palatino Linotype"/>
          <w:i/>
          <w:lang w:val="en-GB"/>
        </w:rPr>
        <w:t xml:space="preserve"> </w:t>
      </w:r>
      <w:r w:rsidRPr="006F126F">
        <w:rPr>
          <w:rFonts w:ascii="Palatino Linotype" w:hAnsi="Palatino Linotype"/>
          <w:lang w:val="en-GB"/>
        </w:rPr>
        <w:t xml:space="preserve">(Beirut, 6 April 1844): ABCFM microfilm Unit 5: Near East: Reel 538: 100B-102B; Whiting, </w:t>
      </w:r>
      <w:r w:rsidRPr="00902713">
        <w:rPr>
          <w:rFonts w:ascii="Palatino Linotype" w:hAnsi="Palatino Linotype"/>
          <w:lang w:val="en-GB"/>
        </w:rPr>
        <w:t>Thomson and Van Dyck, ‘</w:t>
      </w:r>
      <w:r w:rsidRPr="006F126F">
        <w:rPr>
          <w:rFonts w:ascii="Palatino Linotype" w:hAnsi="Palatino Linotype"/>
          <w:lang w:val="en-GB"/>
        </w:rPr>
        <w:t>Letter to Rufus Anderson’</w:t>
      </w:r>
      <w:r w:rsidRPr="006F126F">
        <w:rPr>
          <w:rFonts w:ascii="Palatino Linotype" w:hAnsi="Palatino Linotype"/>
          <w:i/>
          <w:lang w:val="en-GB"/>
        </w:rPr>
        <w:t xml:space="preserve"> </w:t>
      </w:r>
      <w:r w:rsidRPr="006F126F">
        <w:rPr>
          <w:rFonts w:ascii="Palatino Linotype" w:hAnsi="Palatino Linotype"/>
          <w:lang w:val="en-GB"/>
        </w:rPr>
        <w:t>(Abeih, 7 June 1845).</w:t>
      </w:r>
    </w:p>
  </w:footnote>
  <w:footnote w:id="13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Pr>
          <w:rFonts w:ascii="Palatino Linotype" w:hAnsi="Palatino Linotype"/>
          <w:lang w:val="en-GB"/>
        </w:rPr>
        <w:t xml:space="preserve">E.g. </w:t>
      </w:r>
      <w:r w:rsidRPr="006F126F">
        <w:rPr>
          <w:rFonts w:ascii="Palatino Linotype" w:hAnsi="Palatino Linotype"/>
          <w:lang w:val="en-GB"/>
        </w:rPr>
        <w:t>Beecher, ‘The Autobiography of Lyman Beecher’: 54.</w:t>
      </w:r>
    </w:p>
  </w:footnote>
  <w:footnote w:id="13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Blake, </w:t>
      </w:r>
      <w:r w:rsidRPr="006F126F">
        <w:rPr>
          <w:rFonts w:ascii="Palatino Linotype" w:hAnsi="Palatino Linotype"/>
          <w:i/>
          <w:lang w:val="en-GB"/>
        </w:rPr>
        <w:t>American Universal Geography</w:t>
      </w:r>
      <w:r w:rsidRPr="006F126F">
        <w:rPr>
          <w:rFonts w:ascii="Palatino Linotype" w:hAnsi="Palatino Linotype"/>
          <w:lang w:val="en-GB"/>
        </w:rPr>
        <w:t>: 141.</w:t>
      </w:r>
    </w:p>
  </w:footnote>
  <w:footnote w:id="13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William Woodbridge, ‘Moral and Political Chart of the Inhabited World’ [1830], in: Michie and Thomas, </w:t>
      </w:r>
      <w:r w:rsidRPr="006F126F">
        <w:rPr>
          <w:rFonts w:ascii="Palatino Linotype" w:hAnsi="Palatino Linotype"/>
          <w:i/>
          <w:lang w:val="en-GB"/>
        </w:rPr>
        <w:t>NCG</w:t>
      </w:r>
      <w:r w:rsidRPr="006F126F">
        <w:rPr>
          <w:rFonts w:ascii="Palatino Linotype" w:hAnsi="Palatino Linotype"/>
          <w:lang w:val="en-GB"/>
        </w:rPr>
        <w:t>: 57.</w:t>
      </w:r>
    </w:p>
  </w:footnote>
  <w:footnote w:id="14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Identifying with an enslaved woman problematised white Americans’ assertions of difference from African-American slaves within their own country. Joy S. Kasson, ‘Narratives of the Female Body: </w:t>
      </w:r>
      <w:r w:rsidRPr="006F126F">
        <w:rPr>
          <w:rFonts w:ascii="Palatino Linotype" w:hAnsi="Palatino Linotype"/>
          <w:i/>
          <w:lang w:val="en-GB"/>
        </w:rPr>
        <w:t>The Greek Slave</w:t>
      </w:r>
      <w:r w:rsidRPr="006F126F">
        <w:rPr>
          <w:rFonts w:ascii="Palatino Linotype" w:hAnsi="Palatino Linotype"/>
          <w:lang w:val="en-GB"/>
        </w:rPr>
        <w:t>’, in: S. Samuels</w:t>
      </w:r>
      <w:r w:rsidRPr="006F126F">
        <w:rPr>
          <w:rFonts w:ascii="Palatino Linotype" w:hAnsi="Palatino Linotype"/>
          <w:i/>
          <w:lang w:val="en-GB"/>
        </w:rPr>
        <w:t xml:space="preserve"> </w:t>
      </w:r>
      <w:r w:rsidRPr="006F126F">
        <w:rPr>
          <w:rFonts w:ascii="Palatino Linotype" w:hAnsi="Palatino Linotype"/>
          <w:lang w:val="en-GB"/>
        </w:rPr>
        <w:t xml:space="preserve">(ed.), </w:t>
      </w:r>
      <w:r w:rsidRPr="006F126F">
        <w:rPr>
          <w:rFonts w:ascii="Palatino Linotype" w:hAnsi="Palatino Linotype"/>
          <w:i/>
          <w:lang w:val="en-GB"/>
        </w:rPr>
        <w:t xml:space="preserve">The Culture of Sentiment: Race, Gender, and Sentimentality in Nineteenth-Century America </w:t>
      </w:r>
      <w:r w:rsidRPr="006F126F">
        <w:rPr>
          <w:rFonts w:ascii="Palatino Linotype" w:hAnsi="Palatino Linotype"/>
          <w:lang w:val="en-GB"/>
        </w:rPr>
        <w:t>(New York and Oxford: Oxford University Press, 1992): 172-191; Mitchell, ‘Rosebloom and Pure White’: 387.</w:t>
      </w:r>
    </w:p>
  </w:footnote>
  <w:footnote w:id="14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Gerald L. Foster, </w:t>
      </w:r>
      <w:r w:rsidRPr="006F126F">
        <w:rPr>
          <w:rFonts w:ascii="Palatino Linotype" w:hAnsi="Palatino Linotype"/>
          <w:i/>
          <w:lang w:val="en-GB"/>
        </w:rPr>
        <w:t xml:space="preserve">American Houses: A Field Guide to the Architecture of the Home </w:t>
      </w:r>
      <w:r w:rsidRPr="006F126F">
        <w:rPr>
          <w:rFonts w:ascii="Palatino Linotype" w:hAnsi="Palatino Linotype"/>
          <w:lang w:val="en-GB"/>
        </w:rPr>
        <w:t>(New York: Houghton Mifflin Books, 2004): 219-220.</w:t>
      </w:r>
    </w:p>
  </w:footnote>
  <w:footnote w:id="14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Beadle, ‘Journal of Tour to Aleppo’</w:t>
      </w:r>
      <w:r>
        <w:rPr>
          <w:rFonts w:ascii="Palatino Linotype" w:hAnsi="Palatino Linotype"/>
          <w:lang w:val="en-GB"/>
        </w:rPr>
        <w:t>.</w:t>
      </w:r>
      <w:r w:rsidRPr="006F126F">
        <w:rPr>
          <w:rFonts w:ascii="Palatino Linotype" w:hAnsi="Palatino Linotype"/>
          <w:i/>
          <w:lang w:val="en-GB"/>
        </w:rPr>
        <w:t xml:space="preserve"> </w:t>
      </w:r>
    </w:p>
  </w:footnote>
  <w:footnote w:id="14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Hooker, </w:t>
      </w:r>
      <w:r w:rsidRPr="006F126F">
        <w:rPr>
          <w:rFonts w:ascii="Palatino Linotype" w:hAnsi="Palatino Linotype"/>
          <w:i/>
          <w:lang w:val="en-GB"/>
        </w:rPr>
        <w:t>MSLS:</w:t>
      </w:r>
      <w:r w:rsidRPr="006F126F">
        <w:rPr>
          <w:rFonts w:ascii="Palatino Linotype" w:hAnsi="Palatino Linotype"/>
          <w:lang w:val="en-GB"/>
        </w:rPr>
        <w:t xml:space="preserve"> 132.</w:t>
      </w:r>
    </w:p>
  </w:footnote>
  <w:footnote w:id="14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Richard A. Fazzini, and Mary E. McKercher, ‘“Egyptmania” and American Architecture’, in: J. Humbert and C. A. Price</w:t>
      </w:r>
      <w:r w:rsidRPr="006F126F">
        <w:rPr>
          <w:rFonts w:ascii="Palatino Linotype" w:hAnsi="Palatino Linotype"/>
          <w:i/>
          <w:lang w:val="en-GB"/>
        </w:rPr>
        <w:t xml:space="preserve"> </w:t>
      </w:r>
      <w:r w:rsidRPr="006F126F">
        <w:rPr>
          <w:rFonts w:ascii="Palatino Linotype" w:hAnsi="Palatino Linotype"/>
          <w:lang w:val="en-GB"/>
        </w:rPr>
        <w:t>(eds.),</w:t>
      </w:r>
      <w:r w:rsidRPr="006F126F">
        <w:rPr>
          <w:rFonts w:ascii="Palatino Linotype" w:hAnsi="Palatino Linotype"/>
          <w:i/>
          <w:lang w:val="en-GB"/>
        </w:rPr>
        <w:t xml:space="preserve"> Imhotep Today: Egyptianizing Architecture </w:t>
      </w:r>
      <w:r w:rsidRPr="006F126F">
        <w:rPr>
          <w:rFonts w:ascii="Palatino Linotype" w:hAnsi="Palatino Linotype"/>
          <w:lang w:val="en-GB"/>
        </w:rPr>
        <w:t>(London: University College of London, 2003): 136-138.</w:t>
      </w:r>
    </w:p>
  </w:footnote>
  <w:footnote w:id="14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Edward William Lane, </w:t>
      </w:r>
      <w:r w:rsidRPr="006F126F">
        <w:rPr>
          <w:rFonts w:ascii="Palatino Linotype" w:hAnsi="Palatino Linotype"/>
          <w:i/>
          <w:lang w:val="en-GB"/>
        </w:rPr>
        <w:t>An Account of the Manners and Customs of the Modern Egyptians Written in Egypt During the Years 1833-1835</w:t>
      </w:r>
      <w:r w:rsidRPr="006F126F">
        <w:rPr>
          <w:rFonts w:ascii="Palatino Linotype" w:hAnsi="Palatino Linotype"/>
          <w:lang w:val="en-GB"/>
        </w:rPr>
        <w:t xml:space="preserve"> [1836]</w:t>
      </w:r>
      <w:r w:rsidRPr="006F126F">
        <w:rPr>
          <w:rFonts w:ascii="Palatino Linotype" w:hAnsi="Palatino Linotype"/>
          <w:i/>
          <w:lang w:val="en-GB"/>
        </w:rPr>
        <w:t xml:space="preserve"> </w:t>
      </w:r>
      <w:r w:rsidRPr="006F126F">
        <w:rPr>
          <w:rFonts w:ascii="Palatino Linotype" w:hAnsi="Palatino Linotype"/>
          <w:lang w:val="en-GB"/>
        </w:rPr>
        <w:t>(London: East-West Publications, 1978); Elias R. Beadle, ‘Letter concerning books’</w:t>
      </w:r>
      <w:r w:rsidRPr="006F126F">
        <w:rPr>
          <w:rFonts w:ascii="Palatino Linotype" w:hAnsi="Palatino Linotype"/>
          <w:i/>
          <w:lang w:val="en-GB"/>
        </w:rPr>
        <w:t xml:space="preserve"> </w:t>
      </w:r>
      <w:r w:rsidRPr="006F126F">
        <w:rPr>
          <w:rFonts w:ascii="Palatino Linotype" w:hAnsi="Palatino Linotype"/>
          <w:lang w:val="en-GB"/>
        </w:rPr>
        <w:t>(Aleppo, 1841): ABCFM microfilm Unit 5: Near East: Reel 539: 145-6; Naim Tabet, ‘Inventory of the Effects of the Late F. W. A. Bromfield’</w:t>
      </w:r>
      <w:r w:rsidRPr="006F126F">
        <w:rPr>
          <w:rFonts w:ascii="Palatino Linotype" w:hAnsi="Palatino Linotype"/>
          <w:i/>
          <w:lang w:val="en-GB"/>
        </w:rPr>
        <w:t xml:space="preserve"> </w:t>
      </w:r>
      <w:r w:rsidRPr="006F126F">
        <w:rPr>
          <w:rFonts w:ascii="Palatino Linotype" w:hAnsi="Palatino Linotype"/>
          <w:lang w:val="en-GB"/>
        </w:rPr>
        <w:t xml:space="preserve">(Beirut: 31 December 1851): [British] PRO: FO 616/4. George William Curtis, </w:t>
      </w:r>
      <w:r w:rsidRPr="006F126F">
        <w:rPr>
          <w:rFonts w:ascii="Palatino Linotype" w:hAnsi="Palatino Linotype"/>
          <w:i/>
          <w:lang w:val="en-GB"/>
        </w:rPr>
        <w:t>Nile Notes of a Howadji</w:t>
      </w:r>
      <w:r w:rsidRPr="006F126F">
        <w:rPr>
          <w:rFonts w:ascii="Palatino Linotype" w:hAnsi="Palatino Linotype"/>
          <w:lang w:val="en-GB"/>
        </w:rPr>
        <w:t xml:space="preserve"> [1851] (New York: Dix, Edwards &amp; Co., 1856).</w:t>
      </w:r>
    </w:p>
  </w:footnote>
  <w:footnote w:id="14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sidRPr="006F126F">
        <w:rPr>
          <w:rFonts w:ascii="Palatino Linotype" w:hAnsi="Palatino Linotype"/>
          <w:i/>
          <w:lang w:val="en-GB"/>
        </w:rPr>
        <w:t>MH</w:t>
      </w:r>
      <w:r w:rsidRPr="006F126F">
        <w:rPr>
          <w:rFonts w:ascii="Palatino Linotype" w:hAnsi="Palatino Linotype"/>
          <w:lang w:val="en-GB"/>
        </w:rPr>
        <w:t xml:space="preserve"> (1851): 135.</w:t>
      </w:r>
    </w:p>
  </w:footnote>
  <w:footnote w:id="147">
    <w:p w:rsidR="008A3BC5" w:rsidRPr="00277E35" w:rsidRDefault="008A3BC5" w:rsidP="001761FF">
      <w:pPr>
        <w:pStyle w:val="FootnoteText"/>
        <w:ind w:left="90" w:hanging="90"/>
        <w:jc w:val="both"/>
        <w:rPr>
          <w:rFonts w:ascii="Palatino Linotype" w:hAnsi="Palatino Linotype"/>
          <w:lang w:val="en-GB"/>
        </w:rPr>
      </w:pPr>
      <w:r w:rsidRPr="00277E35">
        <w:rPr>
          <w:rStyle w:val="FootnoteReference"/>
          <w:rFonts w:ascii="Palatino Linotype" w:hAnsi="Palatino Linotype"/>
        </w:rPr>
        <w:footnoteRef/>
      </w:r>
      <w:r w:rsidRPr="00277E35">
        <w:rPr>
          <w:rFonts w:ascii="Palatino Linotype" w:hAnsi="Palatino Linotype"/>
        </w:rPr>
        <w:t xml:space="preserve"> </w:t>
      </w:r>
      <w:r w:rsidRPr="00277E35">
        <w:rPr>
          <w:rFonts w:ascii="Palatino Linotype" w:hAnsi="Palatino Linotype"/>
          <w:lang w:val="en-GB"/>
        </w:rPr>
        <w:t xml:space="preserve">Makdisi, ‘Reclaiming the Land of the Bible’: </w:t>
      </w:r>
      <w:r w:rsidRPr="00277E35">
        <w:rPr>
          <w:rFonts w:ascii="Palatino Linotype" w:hAnsi="Palatino Linotype"/>
        </w:rPr>
        <w:t xml:space="preserve">703-704; n.s. (1860). </w:t>
      </w:r>
      <w:r w:rsidRPr="00277E35">
        <w:rPr>
          <w:rFonts w:ascii="Palatino Linotype" w:hAnsi="Palatino Linotype"/>
          <w:i/>
        </w:rPr>
        <w:t>The Massacres in Syria: A Faithful Account of the Cruelties and Outrages Suffered by the Christians of Mount Lebanon, During the Late Persecutions in Syria: With A Succinct History of Mahometanism, and the rise of the Maronites, Druses, Wahabies, Yezidees, or Devil-Worshippers, and Other Oriental Sects; including “The Old Man of the Mountain,” And his Tribe of Assassins.</w:t>
      </w:r>
      <w:r w:rsidRPr="00277E35">
        <w:rPr>
          <w:rFonts w:ascii="Palatino Linotype" w:hAnsi="Palatino Linotype"/>
        </w:rPr>
        <w:t xml:space="preserve"> Robert W. De Witt, New York.</w:t>
      </w:r>
      <w:r w:rsidRPr="00277E35">
        <w:rPr>
          <w:rFonts w:ascii="Palatino Linotype" w:hAnsi="Palatino Linotype"/>
          <w:lang w:val="en-GB"/>
        </w:rPr>
        <w:t xml:space="preserve"> </w:t>
      </w:r>
    </w:p>
  </w:footnote>
  <w:footnote w:id="14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Abby Bliss quoted in Bliss,</w:t>
      </w:r>
      <w:r w:rsidRPr="006F126F">
        <w:rPr>
          <w:rFonts w:ascii="Palatino Linotype" w:hAnsi="Palatino Linotype"/>
          <w:i/>
          <w:lang w:val="en-GB"/>
        </w:rPr>
        <w:t xml:space="preserve"> RDB</w:t>
      </w:r>
      <w:r w:rsidRPr="006F126F">
        <w:rPr>
          <w:rFonts w:ascii="Palatino Linotype" w:hAnsi="Palatino Linotype"/>
          <w:lang w:val="en-GB"/>
        </w:rPr>
        <w:t>: 94-95.</w:t>
      </w:r>
    </w:p>
  </w:footnote>
  <w:footnote w:id="14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For example Beirut is not listed in the ‘Cities and Towns in Asia’ in Blake, </w:t>
      </w:r>
      <w:r w:rsidRPr="006F126F">
        <w:rPr>
          <w:rFonts w:ascii="Palatino Linotype" w:hAnsi="Palatino Linotype"/>
          <w:i/>
          <w:lang w:val="en-GB"/>
        </w:rPr>
        <w:t>American Universal Geography</w:t>
      </w:r>
      <w:r w:rsidRPr="006F126F">
        <w:rPr>
          <w:rFonts w:ascii="Palatino Linotype" w:hAnsi="Palatino Linotype"/>
          <w:lang w:val="en-GB"/>
        </w:rPr>
        <w:t>: 113.</w:t>
      </w:r>
    </w:p>
  </w:footnote>
  <w:footnote w:id="15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Jenks, </w:t>
      </w:r>
      <w:r w:rsidRPr="006F126F">
        <w:rPr>
          <w:rFonts w:ascii="Palatino Linotype" w:hAnsi="Palatino Linotype"/>
          <w:i/>
          <w:lang w:val="en-GB"/>
        </w:rPr>
        <w:t>Explanatory Bible Atlas and Scripture Gazettee</w:t>
      </w:r>
      <w:r w:rsidRPr="006F126F">
        <w:rPr>
          <w:rFonts w:ascii="Palatino Linotype" w:hAnsi="Palatino Linotype"/>
          <w:lang w:val="en-GB"/>
        </w:rPr>
        <w:t>: 87-90.</w:t>
      </w:r>
    </w:p>
  </w:footnote>
  <w:footnote w:id="15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n.s., ‘Map of Beyroot and Vicinity’.</w:t>
      </w:r>
    </w:p>
  </w:footnote>
  <w:footnote w:id="15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Lipman, </w:t>
      </w:r>
      <w:r w:rsidRPr="006F126F">
        <w:rPr>
          <w:rFonts w:ascii="Palatino Linotype" w:hAnsi="Palatino Linotype"/>
          <w:i/>
          <w:lang w:val="en-GB"/>
        </w:rPr>
        <w:t>Americans and the Holy Land</w:t>
      </w:r>
      <w:r w:rsidRPr="006F126F">
        <w:rPr>
          <w:rFonts w:ascii="Palatino Linotype" w:hAnsi="Palatino Linotype"/>
          <w:lang w:val="en-GB"/>
        </w:rPr>
        <w:t>: 19.</w:t>
      </w:r>
    </w:p>
  </w:footnote>
  <w:footnote w:id="153">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Tibawi, </w:t>
      </w:r>
      <w:r w:rsidRPr="006F126F">
        <w:rPr>
          <w:rFonts w:ascii="Palatino Linotype" w:hAnsi="Palatino Linotype"/>
          <w:i/>
          <w:lang w:val="en-GB"/>
        </w:rPr>
        <w:t>British Interests in Palestine</w:t>
      </w:r>
      <w:r w:rsidRPr="006F126F">
        <w:rPr>
          <w:rFonts w:ascii="Palatino Linotype" w:hAnsi="Palatino Linotype"/>
          <w:lang w:val="en-GB"/>
        </w:rPr>
        <w:t>: 10.</w:t>
      </w:r>
    </w:p>
  </w:footnote>
  <w:footnote w:id="15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Zachs, </w:t>
      </w:r>
      <w:r w:rsidRPr="006F126F">
        <w:rPr>
          <w:rFonts w:ascii="Palatino Linotype" w:hAnsi="Palatino Linotype"/>
          <w:i/>
          <w:lang w:val="en-GB"/>
        </w:rPr>
        <w:t xml:space="preserve">The Making of a Syrian Identity. </w:t>
      </w:r>
      <w:r w:rsidRPr="006F126F">
        <w:rPr>
          <w:rFonts w:ascii="Palatino Linotype" w:hAnsi="Palatino Linotype"/>
          <w:lang w:val="en-GB"/>
        </w:rPr>
        <w:t xml:space="preserve">Due to demographics and geographic location, Aleppo was also affiliated with </w:t>
      </w:r>
      <w:r>
        <w:rPr>
          <w:rFonts w:ascii="Palatino Linotype" w:hAnsi="Palatino Linotype"/>
          <w:lang w:val="en-GB"/>
        </w:rPr>
        <w:t xml:space="preserve">and transferred to </w:t>
      </w:r>
      <w:r w:rsidRPr="006F126F">
        <w:rPr>
          <w:rFonts w:ascii="Palatino Linotype" w:hAnsi="Palatino Linotype"/>
          <w:lang w:val="en-GB"/>
        </w:rPr>
        <w:t xml:space="preserve">the Armenian-Turkish station by the ABCFM. </w:t>
      </w:r>
      <w:r w:rsidRPr="006F126F">
        <w:rPr>
          <w:rFonts w:ascii="Palatino Linotype" w:hAnsi="Palatino Linotype"/>
          <w:i/>
          <w:lang w:val="en-GB"/>
        </w:rPr>
        <w:t xml:space="preserve">MH </w:t>
      </w:r>
      <w:r w:rsidRPr="006F126F">
        <w:rPr>
          <w:rFonts w:ascii="Palatino Linotype" w:hAnsi="Palatino Linotype"/>
          <w:lang w:val="en-GB"/>
        </w:rPr>
        <w:t>(1856): 3.</w:t>
      </w:r>
    </w:p>
  </w:footnote>
  <w:footnote w:id="15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Zachs, </w:t>
      </w:r>
      <w:r w:rsidRPr="006F126F">
        <w:rPr>
          <w:rFonts w:ascii="Palatino Linotype" w:hAnsi="Palatino Linotype"/>
          <w:i/>
          <w:lang w:val="en-GB"/>
        </w:rPr>
        <w:t>The Making of a Syrian Identity</w:t>
      </w:r>
      <w:r w:rsidRPr="006F126F">
        <w:rPr>
          <w:rFonts w:ascii="Palatino Linotype" w:hAnsi="Palatino Linotype"/>
          <w:lang w:val="en-GB"/>
        </w:rPr>
        <w:t>: 132-133.</w:t>
      </w:r>
    </w:p>
  </w:footnote>
  <w:footnote w:id="15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Robinson and Smith, </w:t>
      </w:r>
      <w:r w:rsidRPr="006F126F">
        <w:rPr>
          <w:rFonts w:ascii="Palatino Linotype" w:hAnsi="Palatino Linotype"/>
          <w:i/>
          <w:lang w:val="en-GB"/>
        </w:rPr>
        <w:t>BR</w:t>
      </w:r>
      <w:r w:rsidRPr="006F126F">
        <w:rPr>
          <w:rFonts w:ascii="Palatino Linotype" w:hAnsi="Palatino Linotype"/>
          <w:lang w:val="en-GB"/>
        </w:rPr>
        <w:t>: 31.</w:t>
      </w:r>
    </w:p>
  </w:footnote>
  <w:footnote w:id="15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Noll, ‘“Christian American” and “Christian Canada”: 377. Two ABCFM missionaries of the Syrian Station, Rebecca Williams and Story Hebard, who were eventually married, were born and raised in Lebanon, Connecticut and Lebanon, New Hampshire, respectively. Samuel H. Williams, ‘Rebecca Williams Hebard of Lebanon, Connecticut: Missionary in Beirut, Syria and to the Druze of Mount Lebanon, 1835-1840’</w:t>
      </w:r>
      <w:r w:rsidRPr="006F126F">
        <w:rPr>
          <w:rFonts w:ascii="Palatino Linotype" w:hAnsi="Palatino Linotype"/>
          <w:i/>
          <w:lang w:val="en-GB"/>
        </w:rPr>
        <w:t xml:space="preserve"> </w:t>
      </w:r>
      <w:r w:rsidRPr="006F126F">
        <w:rPr>
          <w:rFonts w:ascii="Palatino Linotype" w:hAnsi="Palatino Linotype"/>
          <w:lang w:val="en-GB"/>
        </w:rPr>
        <w:t>(n.s., 1950): 12.</w:t>
      </w:r>
    </w:p>
  </w:footnote>
  <w:footnote w:id="158">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Jenks, </w:t>
      </w:r>
      <w:r w:rsidRPr="006F126F">
        <w:rPr>
          <w:rFonts w:ascii="Palatino Linotype" w:hAnsi="Palatino Linotype"/>
          <w:i/>
          <w:lang w:val="en-GB"/>
        </w:rPr>
        <w:t>Explanatory Bible Atlas and Scripture Gazetteer</w:t>
      </w:r>
      <w:r w:rsidRPr="006F126F">
        <w:rPr>
          <w:rFonts w:ascii="Palatino Linotype" w:hAnsi="Palatino Linotype"/>
          <w:lang w:val="en-GB"/>
        </w:rPr>
        <w:t xml:space="preserve">: 49; Hooker, </w:t>
      </w:r>
      <w:r w:rsidRPr="006F126F">
        <w:rPr>
          <w:rFonts w:ascii="Palatino Linotype" w:hAnsi="Palatino Linotype"/>
          <w:i/>
          <w:lang w:val="en-GB"/>
        </w:rPr>
        <w:t>MSLS</w:t>
      </w:r>
      <w:r w:rsidRPr="006F126F">
        <w:rPr>
          <w:rFonts w:ascii="Palatino Linotype" w:hAnsi="Palatino Linotype"/>
          <w:lang w:val="en-GB"/>
        </w:rPr>
        <w:t xml:space="preserve">: 109-110. Jesuit missionaries in the eighteenth century held a similar perception. </w:t>
      </w:r>
      <w:r w:rsidRPr="00376127">
        <w:rPr>
          <w:rFonts w:ascii="Palatino Linotype" w:hAnsi="Palatino Linotype"/>
          <w:lang w:val="en-GB"/>
        </w:rPr>
        <w:t>Khater, ‘God has Called Me to be Free’</w:t>
      </w:r>
      <w:r>
        <w:rPr>
          <w:rFonts w:ascii="Palatino Linotype" w:hAnsi="Palatino Linotype"/>
          <w:lang w:val="en-GB"/>
        </w:rPr>
        <w:t>: 428-431.</w:t>
      </w:r>
    </w:p>
  </w:footnote>
  <w:footnote w:id="159">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Thomson, </w:t>
      </w:r>
      <w:r w:rsidRPr="00376127">
        <w:rPr>
          <w:rFonts w:ascii="Palatino Linotype" w:hAnsi="Palatino Linotype"/>
          <w:i/>
          <w:lang w:val="en-GB"/>
        </w:rPr>
        <w:t>LB,</w:t>
      </w:r>
      <w:r w:rsidRPr="006F126F">
        <w:rPr>
          <w:rFonts w:ascii="Palatino Linotype" w:hAnsi="Palatino Linotype"/>
          <w:lang w:val="en-GB"/>
        </w:rPr>
        <w:t xml:space="preserve"> </w:t>
      </w:r>
      <w:r w:rsidRPr="006F126F">
        <w:rPr>
          <w:rFonts w:ascii="Palatino Linotype" w:hAnsi="Palatino Linotype"/>
          <w:i/>
          <w:lang w:val="en-GB"/>
        </w:rPr>
        <w:t>I</w:t>
      </w:r>
      <w:r w:rsidRPr="006F126F">
        <w:rPr>
          <w:rFonts w:ascii="Palatino Linotype" w:hAnsi="Palatino Linotype"/>
          <w:lang w:val="en-GB"/>
        </w:rPr>
        <w:t xml:space="preserve">: 34. </w:t>
      </w:r>
    </w:p>
  </w:footnote>
  <w:footnote w:id="160">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sidRPr="006F126F">
        <w:rPr>
          <w:rFonts w:ascii="Palatino Linotype" w:hAnsi="Palatino Linotype"/>
          <w:i/>
          <w:lang w:val="en-GB"/>
        </w:rPr>
        <w:t>MH</w:t>
      </w:r>
      <w:r w:rsidRPr="006F126F">
        <w:rPr>
          <w:rFonts w:ascii="Palatino Linotype" w:hAnsi="Palatino Linotype"/>
          <w:lang w:val="en-GB"/>
        </w:rPr>
        <w:t xml:space="preserve"> (1842): 429.</w:t>
      </w:r>
      <w:r w:rsidRPr="006F126F">
        <w:rPr>
          <w:rFonts w:ascii="Palatino Linotype" w:hAnsi="Palatino Linotype"/>
          <w:sz w:val="24"/>
          <w:szCs w:val="24"/>
          <w:lang w:val="en-GB"/>
        </w:rPr>
        <w:t xml:space="preserve"> </w:t>
      </w:r>
    </w:p>
  </w:footnote>
  <w:footnote w:id="161">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sidRPr="006F126F">
        <w:rPr>
          <w:rFonts w:ascii="Palatino Linotype" w:hAnsi="Palatino Linotype"/>
          <w:i/>
          <w:lang w:val="en-GB"/>
        </w:rPr>
        <w:t>MH</w:t>
      </w:r>
      <w:r w:rsidRPr="006F126F">
        <w:rPr>
          <w:rFonts w:ascii="Palatino Linotype" w:hAnsi="Palatino Linotype"/>
          <w:lang w:val="en-GB"/>
        </w:rPr>
        <w:t xml:space="preserve"> (1839): 41-42.</w:t>
      </w:r>
    </w:p>
  </w:footnote>
  <w:footnote w:id="162">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Samuel Stanhope Smith, </w:t>
      </w:r>
      <w:r w:rsidRPr="006F126F">
        <w:rPr>
          <w:rFonts w:ascii="Palatino Linotype" w:hAnsi="Palatino Linotype"/>
          <w:i/>
          <w:lang w:val="en-GB"/>
        </w:rPr>
        <w:t xml:space="preserve">An Essay on the Causes and Variety of Complexion and Figure of the Human Species </w:t>
      </w:r>
      <w:r w:rsidRPr="006F126F">
        <w:rPr>
          <w:rFonts w:ascii="Palatino Linotype" w:hAnsi="Palatino Linotype"/>
          <w:lang w:val="en-GB"/>
        </w:rPr>
        <w:t>(Second Edition)</w:t>
      </w:r>
      <w:r w:rsidRPr="006F126F">
        <w:rPr>
          <w:rFonts w:ascii="Palatino Linotype" w:hAnsi="Palatino Linotype"/>
          <w:i/>
          <w:lang w:val="en-GB"/>
        </w:rPr>
        <w:t xml:space="preserve"> </w:t>
      </w:r>
      <w:r w:rsidRPr="006F126F">
        <w:rPr>
          <w:rFonts w:ascii="Palatino Linotype" w:hAnsi="Palatino Linotype"/>
          <w:lang w:val="en-GB"/>
        </w:rPr>
        <w:t xml:space="preserve">(New Brunswick: J. Simpson and Co., 1810): 24; Cornelius V.A. Van Dyck, ‘On the Present Condition of the Medical Profession in Syria’, </w:t>
      </w:r>
      <w:r w:rsidRPr="006F126F">
        <w:rPr>
          <w:rFonts w:ascii="Palatino Linotype" w:hAnsi="Palatino Linotype"/>
          <w:i/>
          <w:lang w:val="en-GB"/>
        </w:rPr>
        <w:t>Journal of the American Oriental Society</w:t>
      </w:r>
      <w:r w:rsidRPr="006F126F">
        <w:rPr>
          <w:rFonts w:ascii="Palatino Linotype" w:hAnsi="Palatino Linotype"/>
          <w:lang w:val="en-GB"/>
        </w:rPr>
        <w:t>, 1:4</w:t>
      </w:r>
      <w:r w:rsidRPr="006F126F">
        <w:rPr>
          <w:rFonts w:ascii="Palatino Linotype" w:hAnsi="Palatino Linotype"/>
          <w:i/>
          <w:lang w:val="en-GB"/>
        </w:rPr>
        <w:t xml:space="preserve"> </w:t>
      </w:r>
      <w:r w:rsidRPr="006F126F">
        <w:rPr>
          <w:rFonts w:ascii="Palatino Linotype" w:hAnsi="Palatino Linotype"/>
          <w:lang w:val="en-GB"/>
        </w:rPr>
        <w:t>(1849): 559.</w:t>
      </w:r>
    </w:p>
  </w:footnote>
  <w:footnote w:id="163">
    <w:p w:rsidR="008A3BC5" w:rsidRPr="006F126F" w:rsidRDefault="008A3BC5" w:rsidP="001761FF">
      <w:pPr>
        <w:pStyle w:val="FootnoteText"/>
        <w:ind w:left="90" w:hanging="90"/>
        <w:jc w:val="both"/>
        <w:rPr>
          <w:rFonts w:ascii="Palatino Linotype" w:hAnsi="Palatino Linotype"/>
        </w:rPr>
      </w:pPr>
      <w:r w:rsidRPr="006F126F">
        <w:rPr>
          <w:rStyle w:val="FootnoteReference"/>
          <w:rFonts w:ascii="Palatino Linotype" w:hAnsi="Palatino Linotype"/>
        </w:rPr>
        <w:footnoteRef/>
      </w:r>
      <w:r w:rsidRPr="006F126F">
        <w:rPr>
          <w:rFonts w:ascii="Palatino Linotype" w:hAnsi="Palatino Linotype"/>
        </w:rPr>
        <w:t xml:space="preserve"> </w:t>
      </w:r>
      <w:r>
        <w:rPr>
          <w:rFonts w:ascii="Palatino Linotype" w:hAnsi="Palatino Linotype"/>
        </w:rPr>
        <w:t xml:space="preserve">Badr, </w:t>
      </w:r>
      <w:r w:rsidRPr="00597B42">
        <w:rPr>
          <w:rFonts w:ascii="Palatino Linotype" w:hAnsi="Palatino Linotype"/>
          <w:lang w:val="en-GB"/>
        </w:rPr>
        <w:t>‘Miss</w:t>
      </w:r>
      <w:r>
        <w:rPr>
          <w:rFonts w:ascii="Palatino Linotype" w:hAnsi="Palatino Linotype"/>
          <w:lang w:val="en-GB"/>
        </w:rPr>
        <w:t>ions to “Nominal Christians”’: 9.</w:t>
      </w:r>
    </w:p>
  </w:footnote>
  <w:footnote w:id="164">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sidRPr="006F126F">
        <w:rPr>
          <w:rFonts w:ascii="Palatino Linotype" w:hAnsi="Palatino Linotype"/>
          <w:i/>
          <w:lang w:val="en-GB"/>
        </w:rPr>
        <w:t>MH</w:t>
      </w:r>
      <w:r w:rsidRPr="006F126F">
        <w:rPr>
          <w:rFonts w:ascii="Palatino Linotype" w:hAnsi="Palatino Linotype"/>
          <w:lang w:val="en-GB"/>
        </w:rPr>
        <w:t xml:space="preserve"> (1842): 430, 432.</w:t>
      </w:r>
    </w:p>
  </w:footnote>
  <w:footnote w:id="165">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sidRPr="006F126F">
        <w:rPr>
          <w:rFonts w:ascii="Palatino Linotype" w:hAnsi="Palatino Linotype"/>
          <w:i/>
          <w:lang w:val="en-GB"/>
        </w:rPr>
        <w:t>MH</w:t>
      </w:r>
      <w:r w:rsidRPr="006F126F">
        <w:rPr>
          <w:rFonts w:ascii="Palatino Linotype" w:hAnsi="Palatino Linotype"/>
          <w:lang w:val="en-GB"/>
        </w:rPr>
        <w:t xml:space="preserve"> (1834): 128.</w:t>
      </w:r>
    </w:p>
  </w:footnote>
  <w:footnote w:id="166">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w:t>
      </w:r>
      <w:r w:rsidRPr="006F126F">
        <w:rPr>
          <w:rFonts w:ascii="Palatino Linotype" w:hAnsi="Palatino Linotype"/>
          <w:i/>
          <w:lang w:val="en-GB"/>
        </w:rPr>
        <w:t xml:space="preserve">MH </w:t>
      </w:r>
      <w:r w:rsidRPr="006F126F">
        <w:rPr>
          <w:rFonts w:ascii="Palatino Linotype" w:hAnsi="Palatino Linotype"/>
          <w:lang w:val="en-GB"/>
        </w:rPr>
        <w:t xml:space="preserve">(1826): 258; Heleen Murre-van den </w:t>
      </w:r>
      <w:r>
        <w:rPr>
          <w:rFonts w:ascii="Palatino Linotype" w:hAnsi="Palatino Linotype"/>
          <w:lang w:val="en-GB"/>
        </w:rPr>
        <w:t>Berg</w:t>
      </w:r>
      <w:r w:rsidRPr="006F126F">
        <w:rPr>
          <w:rFonts w:ascii="Palatino Linotype" w:hAnsi="Palatino Linotype"/>
          <w:lang w:val="en-GB"/>
        </w:rPr>
        <w:t>, ‘The Middle East: Western Missions and the Eastern Churches, Islam and Judaism’, in: S. Gilley and B. Stanley</w:t>
      </w:r>
      <w:r w:rsidRPr="006F126F">
        <w:rPr>
          <w:rFonts w:ascii="Palatino Linotype" w:hAnsi="Palatino Linotype"/>
          <w:i/>
          <w:lang w:val="en-GB"/>
        </w:rPr>
        <w:t xml:space="preserve"> </w:t>
      </w:r>
      <w:r w:rsidRPr="006F126F">
        <w:rPr>
          <w:rFonts w:ascii="Palatino Linotype" w:hAnsi="Palatino Linotype"/>
          <w:lang w:val="en-GB"/>
        </w:rPr>
        <w:t xml:space="preserve">(eds.), </w:t>
      </w:r>
      <w:r w:rsidRPr="006F126F">
        <w:rPr>
          <w:rFonts w:ascii="Palatino Linotype" w:hAnsi="Palatino Linotype"/>
          <w:i/>
          <w:lang w:val="en-GB"/>
        </w:rPr>
        <w:t xml:space="preserve">World Christianities c. 1815-1914: The Cambridge History of Christianity Volume 8 </w:t>
      </w:r>
      <w:r w:rsidRPr="006F126F">
        <w:rPr>
          <w:rFonts w:ascii="Palatino Linotype" w:hAnsi="Palatino Linotype"/>
          <w:lang w:val="en-GB"/>
        </w:rPr>
        <w:t>(Cambridge: Cambridge University Press, 2006):108-110.</w:t>
      </w:r>
    </w:p>
  </w:footnote>
  <w:footnote w:id="167">
    <w:p w:rsidR="008A3BC5" w:rsidRPr="006F126F" w:rsidRDefault="008A3BC5" w:rsidP="001761FF">
      <w:pPr>
        <w:pStyle w:val="FootnoteText"/>
        <w:ind w:left="90" w:hanging="90"/>
        <w:jc w:val="both"/>
        <w:rPr>
          <w:rFonts w:ascii="Palatino Linotype" w:hAnsi="Palatino Linotype"/>
          <w:lang w:val="en-GB"/>
        </w:rPr>
      </w:pPr>
      <w:r w:rsidRPr="006F126F">
        <w:rPr>
          <w:rStyle w:val="FootnoteReference"/>
          <w:rFonts w:ascii="Palatino Linotype" w:hAnsi="Palatino Linotype"/>
          <w:lang w:val="en-GB"/>
        </w:rPr>
        <w:footnoteRef/>
      </w:r>
      <w:r w:rsidRPr="006F126F">
        <w:rPr>
          <w:rFonts w:ascii="Palatino Linotype" w:hAnsi="Palatino Linotype"/>
          <w:lang w:val="en-GB"/>
        </w:rPr>
        <w:t xml:space="preserve"> Hooker, </w:t>
      </w:r>
      <w:r w:rsidRPr="006F126F">
        <w:rPr>
          <w:rFonts w:ascii="Palatino Linotype" w:hAnsi="Palatino Linotype"/>
          <w:i/>
          <w:lang w:val="en-GB"/>
        </w:rPr>
        <w:t>MSLS</w:t>
      </w:r>
      <w:r w:rsidRPr="006F126F">
        <w:rPr>
          <w:rFonts w:ascii="Palatino Linotype" w:hAnsi="Palatino Linotype"/>
          <w:lang w:val="en-GB"/>
        </w:rPr>
        <w:t>: 209-210.</w:t>
      </w:r>
    </w:p>
  </w:footnote>
  <w:footnote w:id="168">
    <w:p w:rsidR="008A3BC5" w:rsidRPr="006F126F" w:rsidRDefault="008A3BC5" w:rsidP="001761FF">
      <w:pPr>
        <w:pStyle w:val="FootnoteText"/>
        <w:ind w:left="90" w:hanging="90"/>
        <w:jc w:val="both"/>
        <w:rPr>
          <w:rFonts w:ascii="Palatino Linotype" w:hAnsi="Palatino Linotype"/>
        </w:rPr>
      </w:pPr>
      <w:r w:rsidRPr="006F126F">
        <w:rPr>
          <w:rStyle w:val="FootnoteReference"/>
          <w:rFonts w:ascii="Palatino Linotype" w:hAnsi="Palatino Linotype"/>
        </w:rPr>
        <w:footnoteRef/>
      </w:r>
      <w:r w:rsidRPr="006F126F">
        <w:rPr>
          <w:rFonts w:ascii="Palatino Linotype" w:hAnsi="Palatino Linotype"/>
        </w:rPr>
        <w:t xml:space="preserve"> </w:t>
      </w:r>
      <w:r w:rsidRPr="00A4329F">
        <w:rPr>
          <w:rFonts w:ascii="Palatino Linotype" w:hAnsi="Palatino Linotype"/>
          <w:i/>
        </w:rPr>
        <w:t>MH</w:t>
      </w:r>
      <w:r w:rsidRPr="006F126F">
        <w:rPr>
          <w:rFonts w:ascii="Palatino Linotype" w:hAnsi="Palatino Linotype"/>
        </w:rPr>
        <w:t xml:space="preserve"> (1837): 206; Bliss, </w:t>
      </w:r>
      <w:r w:rsidRPr="00902713">
        <w:rPr>
          <w:rFonts w:ascii="Palatino Linotype" w:hAnsi="Palatino Linotype"/>
          <w:i/>
        </w:rPr>
        <w:t>RDB</w:t>
      </w:r>
      <w:r w:rsidRPr="006F126F">
        <w:rPr>
          <w:rFonts w:ascii="Palatino Linotype" w:hAnsi="Palatino Linotype"/>
        </w:rPr>
        <w:t>: 123.</w:t>
      </w:r>
    </w:p>
  </w:footnote>
  <w:footnote w:id="169">
    <w:p w:rsidR="008A3BC5" w:rsidRPr="006F126F" w:rsidRDefault="008A3BC5" w:rsidP="001761FF">
      <w:pPr>
        <w:pStyle w:val="FootnoteText"/>
        <w:ind w:left="90" w:hanging="90"/>
        <w:jc w:val="both"/>
        <w:rPr>
          <w:rFonts w:ascii="Palatino Linotype" w:hAnsi="Palatino Linotype"/>
        </w:rPr>
      </w:pPr>
      <w:r w:rsidRPr="006F126F">
        <w:rPr>
          <w:rStyle w:val="FootnoteReference"/>
          <w:rFonts w:ascii="Palatino Linotype" w:hAnsi="Palatino Linotype"/>
        </w:rPr>
        <w:footnoteRef/>
      </w:r>
      <w:r w:rsidRPr="006F126F">
        <w:rPr>
          <w:rFonts w:ascii="Palatino Linotype" w:hAnsi="Palatino Linotype"/>
        </w:rPr>
        <w:t xml:space="preserve"> </w:t>
      </w:r>
      <w:r w:rsidRPr="006F126F">
        <w:rPr>
          <w:rFonts w:ascii="Palatino Linotype" w:hAnsi="Palatino Linotype"/>
          <w:lang w:val="en-GB"/>
        </w:rPr>
        <w:t>Zagumny and Pulsipher, ‘The Races and Conditions of Men’: 412.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669CE"/>
    <w:multiLevelType w:val="hybridMultilevel"/>
    <w:tmpl w:val="BCA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2E3567"/>
    <w:multiLevelType w:val="multilevel"/>
    <w:tmpl w:val="D93E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0C392B"/>
    <w:multiLevelType w:val="hybridMultilevel"/>
    <w:tmpl w:val="D20CA59A"/>
    <w:lvl w:ilvl="0" w:tplc="42D662FC">
      <w:start w:val="1835"/>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revisionView w:inkAnnotations="0"/>
  <w:doNotTrackMoves/>
  <w:defaultTabStop w:val="70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253954" fill="f" fillcolor="white">
      <v:fill color="white" on="f"/>
      <v:stroke weight=".5pt"/>
      <o:colormenu v:ext="edit" fillcolor="none [4]" strokecolor="none [1]" shadowcolor="none [2]"/>
    </o:shapedefaults>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77DA"/>
    <w:rsid w:val="00002560"/>
    <w:rsid w:val="00003114"/>
    <w:rsid w:val="00006C7A"/>
    <w:rsid w:val="000079B2"/>
    <w:rsid w:val="00010905"/>
    <w:rsid w:val="000149B6"/>
    <w:rsid w:val="000173EA"/>
    <w:rsid w:val="0001798B"/>
    <w:rsid w:val="00020E78"/>
    <w:rsid w:val="000222C4"/>
    <w:rsid w:val="00024960"/>
    <w:rsid w:val="00030717"/>
    <w:rsid w:val="00031AF8"/>
    <w:rsid w:val="0003368B"/>
    <w:rsid w:val="00040395"/>
    <w:rsid w:val="000456AD"/>
    <w:rsid w:val="00046096"/>
    <w:rsid w:val="000548F2"/>
    <w:rsid w:val="00065210"/>
    <w:rsid w:val="00065F5B"/>
    <w:rsid w:val="00074AB9"/>
    <w:rsid w:val="00075F41"/>
    <w:rsid w:val="00076961"/>
    <w:rsid w:val="000833F3"/>
    <w:rsid w:val="00083705"/>
    <w:rsid w:val="00084A1E"/>
    <w:rsid w:val="000932DC"/>
    <w:rsid w:val="0009564C"/>
    <w:rsid w:val="000A4293"/>
    <w:rsid w:val="000A5DA9"/>
    <w:rsid w:val="000A626A"/>
    <w:rsid w:val="000B48A3"/>
    <w:rsid w:val="000B7EB4"/>
    <w:rsid w:val="000C115D"/>
    <w:rsid w:val="000C48D9"/>
    <w:rsid w:val="000C6934"/>
    <w:rsid w:val="000D037F"/>
    <w:rsid w:val="000D41DA"/>
    <w:rsid w:val="000D4D70"/>
    <w:rsid w:val="000D5A9B"/>
    <w:rsid w:val="000D617A"/>
    <w:rsid w:val="000E2CBF"/>
    <w:rsid w:val="000F0B1C"/>
    <w:rsid w:val="000F0CAF"/>
    <w:rsid w:val="000F21E4"/>
    <w:rsid w:val="000F414B"/>
    <w:rsid w:val="000F5185"/>
    <w:rsid w:val="000F5DC5"/>
    <w:rsid w:val="001012B9"/>
    <w:rsid w:val="001017F6"/>
    <w:rsid w:val="00102209"/>
    <w:rsid w:val="00107287"/>
    <w:rsid w:val="00110A70"/>
    <w:rsid w:val="00115362"/>
    <w:rsid w:val="001158F3"/>
    <w:rsid w:val="001161F1"/>
    <w:rsid w:val="00117263"/>
    <w:rsid w:val="0012588E"/>
    <w:rsid w:val="001305A9"/>
    <w:rsid w:val="0013442B"/>
    <w:rsid w:val="001348DA"/>
    <w:rsid w:val="00144C8D"/>
    <w:rsid w:val="00145613"/>
    <w:rsid w:val="00151742"/>
    <w:rsid w:val="00151909"/>
    <w:rsid w:val="00151913"/>
    <w:rsid w:val="00153E2C"/>
    <w:rsid w:val="0016222D"/>
    <w:rsid w:val="00164078"/>
    <w:rsid w:val="00164153"/>
    <w:rsid w:val="0016580C"/>
    <w:rsid w:val="0017225D"/>
    <w:rsid w:val="001757EF"/>
    <w:rsid w:val="00175894"/>
    <w:rsid w:val="001828F5"/>
    <w:rsid w:val="001853A5"/>
    <w:rsid w:val="00186FA5"/>
    <w:rsid w:val="0019090E"/>
    <w:rsid w:val="00192D6E"/>
    <w:rsid w:val="00193BB1"/>
    <w:rsid w:val="00196593"/>
    <w:rsid w:val="001A7535"/>
    <w:rsid w:val="001A7C72"/>
    <w:rsid w:val="001A7D2E"/>
    <w:rsid w:val="001A7EAB"/>
    <w:rsid w:val="001B389F"/>
    <w:rsid w:val="001B3A3B"/>
    <w:rsid w:val="001B3C52"/>
    <w:rsid w:val="001C0F5F"/>
    <w:rsid w:val="001C384A"/>
    <w:rsid w:val="001C4063"/>
    <w:rsid w:val="001C6E74"/>
    <w:rsid w:val="001D312A"/>
    <w:rsid w:val="001D5C49"/>
    <w:rsid w:val="001D5E40"/>
    <w:rsid w:val="001D6BDB"/>
    <w:rsid w:val="001D72CB"/>
    <w:rsid w:val="001E6F33"/>
    <w:rsid w:val="00200007"/>
    <w:rsid w:val="002006D2"/>
    <w:rsid w:val="002011AA"/>
    <w:rsid w:val="0020483D"/>
    <w:rsid w:val="002051BE"/>
    <w:rsid w:val="0020790B"/>
    <w:rsid w:val="00214C87"/>
    <w:rsid w:val="002179B5"/>
    <w:rsid w:val="00227658"/>
    <w:rsid w:val="002305DE"/>
    <w:rsid w:val="002343E7"/>
    <w:rsid w:val="0023516C"/>
    <w:rsid w:val="002426AA"/>
    <w:rsid w:val="002432D4"/>
    <w:rsid w:val="00244556"/>
    <w:rsid w:val="00244627"/>
    <w:rsid w:val="002466CE"/>
    <w:rsid w:val="00251E4F"/>
    <w:rsid w:val="002544CE"/>
    <w:rsid w:val="0025459D"/>
    <w:rsid w:val="00256E46"/>
    <w:rsid w:val="002572E7"/>
    <w:rsid w:val="002574B6"/>
    <w:rsid w:val="00264331"/>
    <w:rsid w:val="00265F64"/>
    <w:rsid w:val="0026663D"/>
    <w:rsid w:val="0027118C"/>
    <w:rsid w:val="00274982"/>
    <w:rsid w:val="00276A07"/>
    <w:rsid w:val="00276DE5"/>
    <w:rsid w:val="00277E35"/>
    <w:rsid w:val="0028035B"/>
    <w:rsid w:val="00280994"/>
    <w:rsid w:val="002832A8"/>
    <w:rsid w:val="0029132C"/>
    <w:rsid w:val="00291577"/>
    <w:rsid w:val="002A19F4"/>
    <w:rsid w:val="002A388E"/>
    <w:rsid w:val="002A4B19"/>
    <w:rsid w:val="002A74FE"/>
    <w:rsid w:val="002B118D"/>
    <w:rsid w:val="002B1EDB"/>
    <w:rsid w:val="002B5CA7"/>
    <w:rsid w:val="002C01CC"/>
    <w:rsid w:val="002C18A9"/>
    <w:rsid w:val="002C2A5D"/>
    <w:rsid w:val="002C6239"/>
    <w:rsid w:val="002D1C49"/>
    <w:rsid w:val="002D2CD6"/>
    <w:rsid w:val="002D2CF6"/>
    <w:rsid w:val="002D3E83"/>
    <w:rsid w:val="002E389E"/>
    <w:rsid w:val="002E4979"/>
    <w:rsid w:val="002E5C3F"/>
    <w:rsid w:val="002F0A16"/>
    <w:rsid w:val="002F2CD1"/>
    <w:rsid w:val="002F36AC"/>
    <w:rsid w:val="00301436"/>
    <w:rsid w:val="0030293D"/>
    <w:rsid w:val="00304B76"/>
    <w:rsid w:val="00305932"/>
    <w:rsid w:val="0031235B"/>
    <w:rsid w:val="003129AD"/>
    <w:rsid w:val="00314E4B"/>
    <w:rsid w:val="00317A88"/>
    <w:rsid w:val="00321717"/>
    <w:rsid w:val="003225A8"/>
    <w:rsid w:val="00323816"/>
    <w:rsid w:val="003307FB"/>
    <w:rsid w:val="00333442"/>
    <w:rsid w:val="0033365B"/>
    <w:rsid w:val="00333C32"/>
    <w:rsid w:val="00334BA1"/>
    <w:rsid w:val="0033638B"/>
    <w:rsid w:val="0033684E"/>
    <w:rsid w:val="0033703F"/>
    <w:rsid w:val="003371FC"/>
    <w:rsid w:val="00344F26"/>
    <w:rsid w:val="0034598B"/>
    <w:rsid w:val="0035300E"/>
    <w:rsid w:val="0036373B"/>
    <w:rsid w:val="00367D4F"/>
    <w:rsid w:val="00375CB4"/>
    <w:rsid w:val="00376127"/>
    <w:rsid w:val="003865C0"/>
    <w:rsid w:val="003868FC"/>
    <w:rsid w:val="00390D23"/>
    <w:rsid w:val="00392905"/>
    <w:rsid w:val="0039589E"/>
    <w:rsid w:val="00397839"/>
    <w:rsid w:val="003A0020"/>
    <w:rsid w:val="003A091A"/>
    <w:rsid w:val="003A14D0"/>
    <w:rsid w:val="003A61EE"/>
    <w:rsid w:val="003A6C3C"/>
    <w:rsid w:val="003B29A5"/>
    <w:rsid w:val="003B5691"/>
    <w:rsid w:val="003B588A"/>
    <w:rsid w:val="003B5AE0"/>
    <w:rsid w:val="003C217A"/>
    <w:rsid w:val="003D50EE"/>
    <w:rsid w:val="003E479D"/>
    <w:rsid w:val="003E7436"/>
    <w:rsid w:val="003F09EA"/>
    <w:rsid w:val="003F1A9B"/>
    <w:rsid w:val="003F436D"/>
    <w:rsid w:val="003F49F1"/>
    <w:rsid w:val="0040078C"/>
    <w:rsid w:val="004020CE"/>
    <w:rsid w:val="0040273B"/>
    <w:rsid w:val="004052FA"/>
    <w:rsid w:val="00411124"/>
    <w:rsid w:val="00411DC0"/>
    <w:rsid w:val="00412554"/>
    <w:rsid w:val="004151AE"/>
    <w:rsid w:val="00420D25"/>
    <w:rsid w:val="004250E9"/>
    <w:rsid w:val="0042644C"/>
    <w:rsid w:val="00437A8E"/>
    <w:rsid w:val="00442B78"/>
    <w:rsid w:val="00444D62"/>
    <w:rsid w:val="004517FB"/>
    <w:rsid w:val="00453C58"/>
    <w:rsid w:val="0045499B"/>
    <w:rsid w:val="004555F9"/>
    <w:rsid w:val="00460F04"/>
    <w:rsid w:val="00462D2F"/>
    <w:rsid w:val="00465D0E"/>
    <w:rsid w:val="004701E3"/>
    <w:rsid w:val="00472279"/>
    <w:rsid w:val="004740B5"/>
    <w:rsid w:val="00474A7D"/>
    <w:rsid w:val="00474C70"/>
    <w:rsid w:val="00477472"/>
    <w:rsid w:val="004812CE"/>
    <w:rsid w:val="00483048"/>
    <w:rsid w:val="00484968"/>
    <w:rsid w:val="004874BB"/>
    <w:rsid w:val="0049686A"/>
    <w:rsid w:val="00497511"/>
    <w:rsid w:val="004A3F45"/>
    <w:rsid w:val="004B70E9"/>
    <w:rsid w:val="004C032D"/>
    <w:rsid w:val="004C5B8C"/>
    <w:rsid w:val="004D3929"/>
    <w:rsid w:val="004D3A7E"/>
    <w:rsid w:val="004D75B0"/>
    <w:rsid w:val="004E1E40"/>
    <w:rsid w:val="004F26CC"/>
    <w:rsid w:val="004F7904"/>
    <w:rsid w:val="00500173"/>
    <w:rsid w:val="00501109"/>
    <w:rsid w:val="005035F1"/>
    <w:rsid w:val="00504EEA"/>
    <w:rsid w:val="0050685B"/>
    <w:rsid w:val="005109D9"/>
    <w:rsid w:val="005173F0"/>
    <w:rsid w:val="005336CD"/>
    <w:rsid w:val="0053492F"/>
    <w:rsid w:val="00537ABC"/>
    <w:rsid w:val="00537C81"/>
    <w:rsid w:val="00542BE7"/>
    <w:rsid w:val="00550C5E"/>
    <w:rsid w:val="00553D86"/>
    <w:rsid w:val="005542CC"/>
    <w:rsid w:val="00556B46"/>
    <w:rsid w:val="00561A9E"/>
    <w:rsid w:val="00562B4B"/>
    <w:rsid w:val="00563AEF"/>
    <w:rsid w:val="0057415D"/>
    <w:rsid w:val="0057428A"/>
    <w:rsid w:val="00574E0D"/>
    <w:rsid w:val="00576455"/>
    <w:rsid w:val="00577A78"/>
    <w:rsid w:val="00585523"/>
    <w:rsid w:val="0059020B"/>
    <w:rsid w:val="00592814"/>
    <w:rsid w:val="005975BA"/>
    <w:rsid w:val="00597B42"/>
    <w:rsid w:val="005A0CF2"/>
    <w:rsid w:val="005A12C2"/>
    <w:rsid w:val="005A1451"/>
    <w:rsid w:val="005B1B61"/>
    <w:rsid w:val="005B21E3"/>
    <w:rsid w:val="005B56C5"/>
    <w:rsid w:val="005B735B"/>
    <w:rsid w:val="005C30F8"/>
    <w:rsid w:val="005C7140"/>
    <w:rsid w:val="005D0574"/>
    <w:rsid w:val="005D130A"/>
    <w:rsid w:val="005D563B"/>
    <w:rsid w:val="005E10C7"/>
    <w:rsid w:val="005E407A"/>
    <w:rsid w:val="005E50E3"/>
    <w:rsid w:val="005E5AB3"/>
    <w:rsid w:val="005F20EC"/>
    <w:rsid w:val="005F325A"/>
    <w:rsid w:val="005F65D6"/>
    <w:rsid w:val="005F6C10"/>
    <w:rsid w:val="00600414"/>
    <w:rsid w:val="0060063F"/>
    <w:rsid w:val="006040E4"/>
    <w:rsid w:val="006116A0"/>
    <w:rsid w:val="006121E8"/>
    <w:rsid w:val="006131E7"/>
    <w:rsid w:val="00613EC9"/>
    <w:rsid w:val="006148B2"/>
    <w:rsid w:val="00615DFC"/>
    <w:rsid w:val="00616EE8"/>
    <w:rsid w:val="00621DBA"/>
    <w:rsid w:val="00622DB8"/>
    <w:rsid w:val="00625A07"/>
    <w:rsid w:val="00631440"/>
    <w:rsid w:val="00631FBE"/>
    <w:rsid w:val="006362B0"/>
    <w:rsid w:val="00641991"/>
    <w:rsid w:val="00644CFE"/>
    <w:rsid w:val="00652359"/>
    <w:rsid w:val="006533D9"/>
    <w:rsid w:val="00653CC6"/>
    <w:rsid w:val="00655AB1"/>
    <w:rsid w:val="006604C7"/>
    <w:rsid w:val="00661B1E"/>
    <w:rsid w:val="00662C63"/>
    <w:rsid w:val="00670D96"/>
    <w:rsid w:val="006715AA"/>
    <w:rsid w:val="00675EC1"/>
    <w:rsid w:val="0068293F"/>
    <w:rsid w:val="00683A91"/>
    <w:rsid w:val="00692228"/>
    <w:rsid w:val="00692CBA"/>
    <w:rsid w:val="00693114"/>
    <w:rsid w:val="00694400"/>
    <w:rsid w:val="00695E5F"/>
    <w:rsid w:val="006977C4"/>
    <w:rsid w:val="006A4D8F"/>
    <w:rsid w:val="006A58CA"/>
    <w:rsid w:val="006A73C4"/>
    <w:rsid w:val="006B0989"/>
    <w:rsid w:val="006B0AEE"/>
    <w:rsid w:val="006B7D47"/>
    <w:rsid w:val="006C1970"/>
    <w:rsid w:val="006C1B62"/>
    <w:rsid w:val="006C39D3"/>
    <w:rsid w:val="006C505B"/>
    <w:rsid w:val="006C50F3"/>
    <w:rsid w:val="006C6C88"/>
    <w:rsid w:val="006D4049"/>
    <w:rsid w:val="006E4EBC"/>
    <w:rsid w:val="006F126F"/>
    <w:rsid w:val="006F6AF8"/>
    <w:rsid w:val="00700FBB"/>
    <w:rsid w:val="00706B56"/>
    <w:rsid w:val="00711E4B"/>
    <w:rsid w:val="00711FC0"/>
    <w:rsid w:val="00712B8C"/>
    <w:rsid w:val="0071318E"/>
    <w:rsid w:val="00713CB9"/>
    <w:rsid w:val="00713E29"/>
    <w:rsid w:val="00713F8D"/>
    <w:rsid w:val="00716B6D"/>
    <w:rsid w:val="007200F5"/>
    <w:rsid w:val="0072319E"/>
    <w:rsid w:val="007252A2"/>
    <w:rsid w:val="00731236"/>
    <w:rsid w:val="007314FD"/>
    <w:rsid w:val="00735596"/>
    <w:rsid w:val="00736D56"/>
    <w:rsid w:val="00740FFB"/>
    <w:rsid w:val="00746239"/>
    <w:rsid w:val="00752FF1"/>
    <w:rsid w:val="00764A1A"/>
    <w:rsid w:val="00765071"/>
    <w:rsid w:val="00765320"/>
    <w:rsid w:val="007706E0"/>
    <w:rsid w:val="00773680"/>
    <w:rsid w:val="00774211"/>
    <w:rsid w:val="007747DA"/>
    <w:rsid w:val="007760DA"/>
    <w:rsid w:val="00776404"/>
    <w:rsid w:val="007811ED"/>
    <w:rsid w:val="007816C9"/>
    <w:rsid w:val="0079244F"/>
    <w:rsid w:val="00793581"/>
    <w:rsid w:val="0079499B"/>
    <w:rsid w:val="007A15F1"/>
    <w:rsid w:val="007B209A"/>
    <w:rsid w:val="007B24EF"/>
    <w:rsid w:val="007B3B5F"/>
    <w:rsid w:val="007B5D04"/>
    <w:rsid w:val="007C053E"/>
    <w:rsid w:val="007C0EC2"/>
    <w:rsid w:val="007C28CE"/>
    <w:rsid w:val="007C4081"/>
    <w:rsid w:val="007C5DB0"/>
    <w:rsid w:val="007D56F1"/>
    <w:rsid w:val="007D64F9"/>
    <w:rsid w:val="007E0576"/>
    <w:rsid w:val="007E0A54"/>
    <w:rsid w:val="007E1036"/>
    <w:rsid w:val="007E223D"/>
    <w:rsid w:val="007E3AB2"/>
    <w:rsid w:val="007F31A3"/>
    <w:rsid w:val="007F3C42"/>
    <w:rsid w:val="007F49DB"/>
    <w:rsid w:val="007F7E8C"/>
    <w:rsid w:val="00802500"/>
    <w:rsid w:val="00802EDB"/>
    <w:rsid w:val="008032E3"/>
    <w:rsid w:val="00812332"/>
    <w:rsid w:val="00814C0F"/>
    <w:rsid w:val="008219FB"/>
    <w:rsid w:val="008249FB"/>
    <w:rsid w:val="00827811"/>
    <w:rsid w:val="00835F3C"/>
    <w:rsid w:val="008439FC"/>
    <w:rsid w:val="00845A2A"/>
    <w:rsid w:val="00846C66"/>
    <w:rsid w:val="00850290"/>
    <w:rsid w:val="00851106"/>
    <w:rsid w:val="008516AA"/>
    <w:rsid w:val="00854421"/>
    <w:rsid w:val="00855B1E"/>
    <w:rsid w:val="00860C91"/>
    <w:rsid w:val="0087101C"/>
    <w:rsid w:val="008713EA"/>
    <w:rsid w:val="00871D6C"/>
    <w:rsid w:val="00876F35"/>
    <w:rsid w:val="00881A26"/>
    <w:rsid w:val="00883206"/>
    <w:rsid w:val="008835F1"/>
    <w:rsid w:val="008A3BC5"/>
    <w:rsid w:val="008A7726"/>
    <w:rsid w:val="008B1407"/>
    <w:rsid w:val="008B26EA"/>
    <w:rsid w:val="008B6655"/>
    <w:rsid w:val="008C1E6A"/>
    <w:rsid w:val="008C291D"/>
    <w:rsid w:val="008D2DFF"/>
    <w:rsid w:val="008D3621"/>
    <w:rsid w:val="008E51E1"/>
    <w:rsid w:val="008E7DCB"/>
    <w:rsid w:val="008F46A4"/>
    <w:rsid w:val="00902713"/>
    <w:rsid w:val="0090369C"/>
    <w:rsid w:val="009070AD"/>
    <w:rsid w:val="009070CE"/>
    <w:rsid w:val="00913147"/>
    <w:rsid w:val="009137FB"/>
    <w:rsid w:val="00917DA3"/>
    <w:rsid w:val="00927349"/>
    <w:rsid w:val="0093336F"/>
    <w:rsid w:val="00943D7B"/>
    <w:rsid w:val="0094512A"/>
    <w:rsid w:val="00945ADF"/>
    <w:rsid w:val="00952746"/>
    <w:rsid w:val="009534C3"/>
    <w:rsid w:val="009547F0"/>
    <w:rsid w:val="00966D22"/>
    <w:rsid w:val="00972165"/>
    <w:rsid w:val="009748EF"/>
    <w:rsid w:val="009753DE"/>
    <w:rsid w:val="00975A66"/>
    <w:rsid w:val="00976933"/>
    <w:rsid w:val="00976C37"/>
    <w:rsid w:val="00977052"/>
    <w:rsid w:val="009770DC"/>
    <w:rsid w:val="009777EC"/>
    <w:rsid w:val="00983DF6"/>
    <w:rsid w:val="00984CBB"/>
    <w:rsid w:val="00985A09"/>
    <w:rsid w:val="0099003C"/>
    <w:rsid w:val="009943F0"/>
    <w:rsid w:val="00995FDD"/>
    <w:rsid w:val="009B1A8F"/>
    <w:rsid w:val="009B2D1A"/>
    <w:rsid w:val="009B5062"/>
    <w:rsid w:val="009B74BB"/>
    <w:rsid w:val="009C4DCC"/>
    <w:rsid w:val="009C798C"/>
    <w:rsid w:val="009D0B38"/>
    <w:rsid w:val="009D0D4B"/>
    <w:rsid w:val="009E372C"/>
    <w:rsid w:val="009E472D"/>
    <w:rsid w:val="009F2D52"/>
    <w:rsid w:val="009F4385"/>
    <w:rsid w:val="00A01429"/>
    <w:rsid w:val="00A04072"/>
    <w:rsid w:val="00A064BC"/>
    <w:rsid w:val="00A13AEA"/>
    <w:rsid w:val="00A153B8"/>
    <w:rsid w:val="00A168D1"/>
    <w:rsid w:val="00A16B0B"/>
    <w:rsid w:val="00A306FF"/>
    <w:rsid w:val="00A413C9"/>
    <w:rsid w:val="00A4329F"/>
    <w:rsid w:val="00A43988"/>
    <w:rsid w:val="00A4527D"/>
    <w:rsid w:val="00A5126C"/>
    <w:rsid w:val="00A636F7"/>
    <w:rsid w:val="00A6533E"/>
    <w:rsid w:val="00A65562"/>
    <w:rsid w:val="00A65E6F"/>
    <w:rsid w:val="00A6623E"/>
    <w:rsid w:val="00A71F45"/>
    <w:rsid w:val="00A828EB"/>
    <w:rsid w:val="00A8673F"/>
    <w:rsid w:val="00A940C3"/>
    <w:rsid w:val="00A97577"/>
    <w:rsid w:val="00A97D84"/>
    <w:rsid w:val="00AA4AEB"/>
    <w:rsid w:val="00AA78A0"/>
    <w:rsid w:val="00AA7C3F"/>
    <w:rsid w:val="00AB262D"/>
    <w:rsid w:val="00AC2487"/>
    <w:rsid w:val="00AC24C0"/>
    <w:rsid w:val="00AC5A6E"/>
    <w:rsid w:val="00AE15DA"/>
    <w:rsid w:val="00AE4AE6"/>
    <w:rsid w:val="00AE60BC"/>
    <w:rsid w:val="00AF3D92"/>
    <w:rsid w:val="00AF4B48"/>
    <w:rsid w:val="00B060C2"/>
    <w:rsid w:val="00B1489C"/>
    <w:rsid w:val="00B21C4C"/>
    <w:rsid w:val="00B24D6C"/>
    <w:rsid w:val="00B277AB"/>
    <w:rsid w:val="00B32343"/>
    <w:rsid w:val="00B32B20"/>
    <w:rsid w:val="00B347CD"/>
    <w:rsid w:val="00B40D1E"/>
    <w:rsid w:val="00B423CD"/>
    <w:rsid w:val="00B56913"/>
    <w:rsid w:val="00B6159E"/>
    <w:rsid w:val="00B71468"/>
    <w:rsid w:val="00B73878"/>
    <w:rsid w:val="00B77340"/>
    <w:rsid w:val="00B813C7"/>
    <w:rsid w:val="00B84823"/>
    <w:rsid w:val="00B86C0F"/>
    <w:rsid w:val="00B923D3"/>
    <w:rsid w:val="00B95398"/>
    <w:rsid w:val="00B96B67"/>
    <w:rsid w:val="00B97E77"/>
    <w:rsid w:val="00BA0CAA"/>
    <w:rsid w:val="00BA2E51"/>
    <w:rsid w:val="00BA386F"/>
    <w:rsid w:val="00BA763C"/>
    <w:rsid w:val="00BB2C29"/>
    <w:rsid w:val="00BB4311"/>
    <w:rsid w:val="00BC325D"/>
    <w:rsid w:val="00BC6040"/>
    <w:rsid w:val="00BD1E1F"/>
    <w:rsid w:val="00BD2ADF"/>
    <w:rsid w:val="00BD72DC"/>
    <w:rsid w:val="00BE001B"/>
    <w:rsid w:val="00BE3201"/>
    <w:rsid w:val="00BE6A4C"/>
    <w:rsid w:val="00BF2EBC"/>
    <w:rsid w:val="00BF3690"/>
    <w:rsid w:val="00C007A4"/>
    <w:rsid w:val="00C018F7"/>
    <w:rsid w:val="00C0218D"/>
    <w:rsid w:val="00C07A26"/>
    <w:rsid w:val="00C1286B"/>
    <w:rsid w:val="00C13161"/>
    <w:rsid w:val="00C15587"/>
    <w:rsid w:val="00C15CC9"/>
    <w:rsid w:val="00C170D4"/>
    <w:rsid w:val="00C2048E"/>
    <w:rsid w:val="00C2126D"/>
    <w:rsid w:val="00C2484C"/>
    <w:rsid w:val="00C24E3C"/>
    <w:rsid w:val="00C31670"/>
    <w:rsid w:val="00C33885"/>
    <w:rsid w:val="00C34F8F"/>
    <w:rsid w:val="00C41077"/>
    <w:rsid w:val="00C43BA6"/>
    <w:rsid w:val="00C4481E"/>
    <w:rsid w:val="00C4520E"/>
    <w:rsid w:val="00C45465"/>
    <w:rsid w:val="00C54A4A"/>
    <w:rsid w:val="00C60485"/>
    <w:rsid w:val="00C61C3E"/>
    <w:rsid w:val="00C646A1"/>
    <w:rsid w:val="00C67C32"/>
    <w:rsid w:val="00C67D83"/>
    <w:rsid w:val="00C71E52"/>
    <w:rsid w:val="00C72C79"/>
    <w:rsid w:val="00C74769"/>
    <w:rsid w:val="00C762AB"/>
    <w:rsid w:val="00C81DAD"/>
    <w:rsid w:val="00C83C20"/>
    <w:rsid w:val="00C87725"/>
    <w:rsid w:val="00C912A5"/>
    <w:rsid w:val="00C935D8"/>
    <w:rsid w:val="00C94346"/>
    <w:rsid w:val="00C94707"/>
    <w:rsid w:val="00CA3F7B"/>
    <w:rsid w:val="00CA648F"/>
    <w:rsid w:val="00CA7A5D"/>
    <w:rsid w:val="00CB59AC"/>
    <w:rsid w:val="00CB6694"/>
    <w:rsid w:val="00CB683F"/>
    <w:rsid w:val="00CC1B47"/>
    <w:rsid w:val="00CC5BB3"/>
    <w:rsid w:val="00CD0708"/>
    <w:rsid w:val="00CD4F9B"/>
    <w:rsid w:val="00CD7F1A"/>
    <w:rsid w:val="00CE18C9"/>
    <w:rsid w:val="00CE2ADA"/>
    <w:rsid w:val="00CE6A4C"/>
    <w:rsid w:val="00CE7B8E"/>
    <w:rsid w:val="00CF29D2"/>
    <w:rsid w:val="00CF3C2E"/>
    <w:rsid w:val="00CF4454"/>
    <w:rsid w:val="00CF44C6"/>
    <w:rsid w:val="00CF4D6C"/>
    <w:rsid w:val="00D0229C"/>
    <w:rsid w:val="00D029FF"/>
    <w:rsid w:val="00D036D4"/>
    <w:rsid w:val="00D04438"/>
    <w:rsid w:val="00D06CFA"/>
    <w:rsid w:val="00D111BA"/>
    <w:rsid w:val="00D12A42"/>
    <w:rsid w:val="00D12FDF"/>
    <w:rsid w:val="00D13F5E"/>
    <w:rsid w:val="00D16D8E"/>
    <w:rsid w:val="00D2092C"/>
    <w:rsid w:val="00D2525C"/>
    <w:rsid w:val="00D3053A"/>
    <w:rsid w:val="00D30E3D"/>
    <w:rsid w:val="00D31048"/>
    <w:rsid w:val="00D32FC6"/>
    <w:rsid w:val="00D553BF"/>
    <w:rsid w:val="00D5722A"/>
    <w:rsid w:val="00D57506"/>
    <w:rsid w:val="00D61860"/>
    <w:rsid w:val="00D65724"/>
    <w:rsid w:val="00D66EE5"/>
    <w:rsid w:val="00D7060A"/>
    <w:rsid w:val="00D72DBD"/>
    <w:rsid w:val="00D73962"/>
    <w:rsid w:val="00D7398C"/>
    <w:rsid w:val="00D742CE"/>
    <w:rsid w:val="00D764AE"/>
    <w:rsid w:val="00D83C06"/>
    <w:rsid w:val="00D91D5B"/>
    <w:rsid w:val="00D94147"/>
    <w:rsid w:val="00D94B8B"/>
    <w:rsid w:val="00DA4B60"/>
    <w:rsid w:val="00DB51A2"/>
    <w:rsid w:val="00DB56BE"/>
    <w:rsid w:val="00DB5B59"/>
    <w:rsid w:val="00DB61AE"/>
    <w:rsid w:val="00DB72AC"/>
    <w:rsid w:val="00DC0F35"/>
    <w:rsid w:val="00DC2F6F"/>
    <w:rsid w:val="00DC3E38"/>
    <w:rsid w:val="00DC61E7"/>
    <w:rsid w:val="00DC68B9"/>
    <w:rsid w:val="00DC713D"/>
    <w:rsid w:val="00DD3F00"/>
    <w:rsid w:val="00DD44E8"/>
    <w:rsid w:val="00DD563D"/>
    <w:rsid w:val="00DE3851"/>
    <w:rsid w:val="00DF0FA2"/>
    <w:rsid w:val="00DF30F2"/>
    <w:rsid w:val="00DF3181"/>
    <w:rsid w:val="00DF4138"/>
    <w:rsid w:val="00E022EF"/>
    <w:rsid w:val="00E03020"/>
    <w:rsid w:val="00E10B33"/>
    <w:rsid w:val="00E11FAB"/>
    <w:rsid w:val="00E15729"/>
    <w:rsid w:val="00E16259"/>
    <w:rsid w:val="00E24A75"/>
    <w:rsid w:val="00E25F99"/>
    <w:rsid w:val="00E31311"/>
    <w:rsid w:val="00E437D7"/>
    <w:rsid w:val="00E45A81"/>
    <w:rsid w:val="00E61011"/>
    <w:rsid w:val="00E629D6"/>
    <w:rsid w:val="00E6632E"/>
    <w:rsid w:val="00E704E5"/>
    <w:rsid w:val="00E7229D"/>
    <w:rsid w:val="00E75667"/>
    <w:rsid w:val="00E757D7"/>
    <w:rsid w:val="00E82FF9"/>
    <w:rsid w:val="00E8713D"/>
    <w:rsid w:val="00E87933"/>
    <w:rsid w:val="00E9018E"/>
    <w:rsid w:val="00E912E9"/>
    <w:rsid w:val="00E91958"/>
    <w:rsid w:val="00E97C4D"/>
    <w:rsid w:val="00EA0708"/>
    <w:rsid w:val="00EA3862"/>
    <w:rsid w:val="00EA4C23"/>
    <w:rsid w:val="00EB0CAA"/>
    <w:rsid w:val="00EB0CF1"/>
    <w:rsid w:val="00EB1F97"/>
    <w:rsid w:val="00EB26B0"/>
    <w:rsid w:val="00EB5BEF"/>
    <w:rsid w:val="00EC0672"/>
    <w:rsid w:val="00ED3BCC"/>
    <w:rsid w:val="00ED5B67"/>
    <w:rsid w:val="00EE2824"/>
    <w:rsid w:val="00EE416F"/>
    <w:rsid w:val="00EE5427"/>
    <w:rsid w:val="00EF117C"/>
    <w:rsid w:val="00EF1CFD"/>
    <w:rsid w:val="00EF38A1"/>
    <w:rsid w:val="00EF5950"/>
    <w:rsid w:val="00EF6192"/>
    <w:rsid w:val="00EF7082"/>
    <w:rsid w:val="00EF7572"/>
    <w:rsid w:val="00F0307B"/>
    <w:rsid w:val="00F044C0"/>
    <w:rsid w:val="00F05348"/>
    <w:rsid w:val="00F10271"/>
    <w:rsid w:val="00F1145B"/>
    <w:rsid w:val="00F13907"/>
    <w:rsid w:val="00F22AB4"/>
    <w:rsid w:val="00F23D91"/>
    <w:rsid w:val="00F26F2A"/>
    <w:rsid w:val="00F27DB4"/>
    <w:rsid w:val="00F27F4B"/>
    <w:rsid w:val="00F319E7"/>
    <w:rsid w:val="00F31A35"/>
    <w:rsid w:val="00F32409"/>
    <w:rsid w:val="00F34CB0"/>
    <w:rsid w:val="00F3594B"/>
    <w:rsid w:val="00F378A0"/>
    <w:rsid w:val="00F43FD8"/>
    <w:rsid w:val="00F4412E"/>
    <w:rsid w:val="00F44136"/>
    <w:rsid w:val="00F45994"/>
    <w:rsid w:val="00F47071"/>
    <w:rsid w:val="00F5272D"/>
    <w:rsid w:val="00F537A8"/>
    <w:rsid w:val="00F67867"/>
    <w:rsid w:val="00F704C7"/>
    <w:rsid w:val="00F73B6C"/>
    <w:rsid w:val="00F75DEA"/>
    <w:rsid w:val="00F777DA"/>
    <w:rsid w:val="00F802E0"/>
    <w:rsid w:val="00F80316"/>
    <w:rsid w:val="00F809ED"/>
    <w:rsid w:val="00F81F51"/>
    <w:rsid w:val="00F872CF"/>
    <w:rsid w:val="00F90538"/>
    <w:rsid w:val="00F91FF3"/>
    <w:rsid w:val="00F932D4"/>
    <w:rsid w:val="00F932E7"/>
    <w:rsid w:val="00F94F11"/>
    <w:rsid w:val="00F953E0"/>
    <w:rsid w:val="00F960CA"/>
    <w:rsid w:val="00FA2F2F"/>
    <w:rsid w:val="00FB01B6"/>
    <w:rsid w:val="00FC2C8D"/>
    <w:rsid w:val="00FD1AD8"/>
    <w:rsid w:val="00FD3639"/>
    <w:rsid w:val="00FD522A"/>
    <w:rsid w:val="00FE0FC3"/>
    <w:rsid w:val="00FE19C1"/>
    <w:rsid w:val="00FE28B5"/>
    <w:rsid w:val="00FE63D6"/>
    <w:rsid w:val="00FE75E4"/>
    <w:rsid w:val="00FF1647"/>
    <w:rsid w:val="00FF1AD1"/>
    <w:rsid w:val="00FF1C08"/>
    <w:rsid w:val="00FF30C8"/>
    <w:rsid w:val="00FF6D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3954" fill="f" fillcolor="white">
      <v:fill color="white" on="f"/>
      <v:stroke weight=".5pt"/>
      <o:colormenu v:ext="edit" fillcolor="none [4]" strokecolor="none [1]" shadowcolor="none [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aramond" w:eastAsia="Times New Roman" w:hAnsi="Garamond"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envelope return" w:uiPriority="0"/>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436"/>
    <w:pPr>
      <w:widowControl w:val="0"/>
      <w:suppressAutoHyphens/>
    </w:pPr>
    <w:rPr>
      <w:color w:val="000000"/>
      <w:sz w:val="24"/>
      <w:szCs w:val="24"/>
    </w:rPr>
  </w:style>
  <w:style w:type="paragraph" w:styleId="Heading1">
    <w:name w:val="heading 1"/>
    <w:basedOn w:val="Heading"/>
    <w:next w:val="BodyText"/>
    <w:link w:val="Heading1Char"/>
    <w:qFormat/>
    <w:rsid w:val="00301436"/>
    <w:pPr>
      <w:tabs>
        <w:tab w:val="num" w:pos="0"/>
      </w:tabs>
      <w:outlineLvl w:val="0"/>
    </w:pPr>
    <w:rPr>
      <w:rFonts w:ascii="Thorndale" w:hAnsi="Thorndale"/>
      <w:b/>
      <w:bCs/>
      <w:sz w:val="32"/>
      <w:szCs w:val="32"/>
    </w:rPr>
  </w:style>
  <w:style w:type="paragraph" w:styleId="Heading2">
    <w:name w:val="heading 2"/>
    <w:basedOn w:val="Heading"/>
    <w:next w:val="BodyText"/>
    <w:link w:val="Heading2Char"/>
    <w:qFormat/>
    <w:rsid w:val="00301436"/>
    <w:pPr>
      <w:tabs>
        <w:tab w:val="num" w:pos="0"/>
      </w:tabs>
      <w:outlineLvl w:val="1"/>
    </w:pPr>
    <w:rPr>
      <w:b/>
      <w:bCs/>
      <w:i/>
      <w:iCs/>
    </w:rPr>
  </w:style>
  <w:style w:type="paragraph" w:styleId="Heading3">
    <w:name w:val="heading 3"/>
    <w:basedOn w:val="Heading"/>
    <w:next w:val="BodyText"/>
    <w:link w:val="Heading3Char"/>
    <w:qFormat/>
    <w:rsid w:val="00301436"/>
    <w:pPr>
      <w:tabs>
        <w:tab w:val="num" w:pos="0"/>
      </w:tabs>
      <w:outlineLvl w:val="2"/>
    </w:pPr>
    <w:rPr>
      <w:b/>
      <w:bCs/>
      <w:sz w:val="26"/>
      <w:szCs w:val="26"/>
    </w:rPr>
  </w:style>
  <w:style w:type="paragraph" w:styleId="Heading4">
    <w:name w:val="heading 4"/>
    <w:basedOn w:val="Heading"/>
    <w:next w:val="BodyText"/>
    <w:link w:val="Heading4Char"/>
    <w:qFormat/>
    <w:rsid w:val="00301436"/>
    <w:pPr>
      <w:tabs>
        <w:tab w:val="num" w:pos="0"/>
      </w:tabs>
      <w:outlineLvl w:val="3"/>
    </w:pPr>
    <w:rPr>
      <w:b/>
      <w:bCs/>
      <w:i/>
      <w:iCs/>
      <w:sz w:val="24"/>
      <w:szCs w:val="24"/>
    </w:rPr>
  </w:style>
  <w:style w:type="paragraph" w:styleId="Heading5">
    <w:name w:val="heading 5"/>
    <w:basedOn w:val="Heading"/>
    <w:next w:val="BodyText"/>
    <w:link w:val="Heading5Char"/>
    <w:qFormat/>
    <w:rsid w:val="00301436"/>
    <w:pPr>
      <w:tabs>
        <w:tab w:val="num" w:pos="0"/>
      </w:tabs>
      <w:outlineLvl w:val="4"/>
    </w:pPr>
    <w:rPr>
      <w:b/>
      <w:bCs/>
      <w:sz w:val="22"/>
      <w:szCs w:val="22"/>
    </w:rPr>
  </w:style>
  <w:style w:type="paragraph" w:styleId="Heading6">
    <w:name w:val="heading 6"/>
    <w:basedOn w:val="Heading"/>
    <w:next w:val="BodyText"/>
    <w:link w:val="Heading6Char"/>
    <w:qFormat/>
    <w:rsid w:val="00301436"/>
    <w:pPr>
      <w:tabs>
        <w:tab w:val="num" w:pos="0"/>
      </w:tabs>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301436"/>
  </w:style>
  <w:style w:type="character" w:styleId="Hyperlink">
    <w:name w:val="Hyperlink"/>
    <w:rsid w:val="00301436"/>
    <w:rPr>
      <w:color w:val="000080"/>
      <w:u w:val="single"/>
    </w:rPr>
  </w:style>
  <w:style w:type="character" w:customStyle="1" w:styleId="EndnoteCharacters">
    <w:name w:val="Endnote Characters"/>
    <w:rsid w:val="00301436"/>
  </w:style>
  <w:style w:type="character" w:styleId="FootnoteReference">
    <w:name w:val="footnote reference"/>
    <w:semiHidden/>
    <w:rsid w:val="00301436"/>
    <w:rPr>
      <w:vertAlign w:val="superscript"/>
    </w:rPr>
  </w:style>
  <w:style w:type="character" w:styleId="EndnoteReference">
    <w:name w:val="endnote reference"/>
    <w:semiHidden/>
    <w:rsid w:val="00301436"/>
    <w:rPr>
      <w:vertAlign w:val="superscript"/>
    </w:rPr>
  </w:style>
  <w:style w:type="paragraph" w:styleId="BodyText">
    <w:name w:val="Body Text"/>
    <w:basedOn w:val="Normal"/>
    <w:link w:val="BodyTextChar"/>
    <w:semiHidden/>
    <w:rsid w:val="00301436"/>
  </w:style>
  <w:style w:type="paragraph" w:customStyle="1" w:styleId="Heading">
    <w:name w:val="Heading"/>
    <w:basedOn w:val="Normal"/>
    <w:next w:val="BodyText"/>
    <w:rsid w:val="00301436"/>
    <w:pPr>
      <w:keepNext/>
      <w:spacing w:before="240" w:after="283"/>
    </w:pPr>
    <w:rPr>
      <w:rFonts w:ascii="Albany" w:eastAsia="HG Mincho Light J" w:hAnsi="Albany" w:cs="Arial Unicode MS"/>
      <w:sz w:val="28"/>
      <w:szCs w:val="28"/>
    </w:rPr>
  </w:style>
  <w:style w:type="paragraph" w:styleId="List">
    <w:name w:val="List"/>
    <w:basedOn w:val="BodyText"/>
    <w:semiHidden/>
    <w:rsid w:val="00301436"/>
  </w:style>
  <w:style w:type="paragraph" w:styleId="Header">
    <w:name w:val="header"/>
    <w:basedOn w:val="Normal"/>
    <w:link w:val="HeaderChar"/>
    <w:semiHidden/>
    <w:rsid w:val="00301436"/>
    <w:pPr>
      <w:suppressLineNumbers/>
      <w:tabs>
        <w:tab w:val="center" w:pos="4818"/>
        <w:tab w:val="right" w:pos="9637"/>
      </w:tabs>
    </w:pPr>
  </w:style>
  <w:style w:type="paragraph" w:styleId="Footer">
    <w:name w:val="footer"/>
    <w:basedOn w:val="Normal"/>
    <w:link w:val="FooterChar"/>
    <w:uiPriority w:val="99"/>
    <w:rsid w:val="00301436"/>
    <w:pPr>
      <w:suppressLineNumbers/>
      <w:tabs>
        <w:tab w:val="center" w:pos="4818"/>
        <w:tab w:val="right" w:pos="9637"/>
      </w:tabs>
    </w:pPr>
  </w:style>
  <w:style w:type="paragraph" w:customStyle="1" w:styleId="TableContents">
    <w:name w:val="Table Contents"/>
    <w:basedOn w:val="BodyText"/>
    <w:rsid w:val="00301436"/>
  </w:style>
  <w:style w:type="paragraph" w:styleId="Caption">
    <w:name w:val="caption"/>
    <w:basedOn w:val="Normal"/>
    <w:qFormat/>
    <w:rsid w:val="00301436"/>
    <w:pPr>
      <w:suppressLineNumbers/>
      <w:spacing w:before="120" w:after="120"/>
    </w:pPr>
    <w:rPr>
      <w:i/>
      <w:iCs/>
    </w:rPr>
  </w:style>
  <w:style w:type="paragraph" w:styleId="FootnoteText">
    <w:name w:val="footnote text"/>
    <w:basedOn w:val="Normal"/>
    <w:link w:val="FootnoteTextChar"/>
    <w:rsid w:val="00301436"/>
    <w:pPr>
      <w:suppressLineNumbers/>
      <w:ind w:left="283" w:hanging="283"/>
    </w:pPr>
    <w:rPr>
      <w:sz w:val="20"/>
      <w:szCs w:val="20"/>
    </w:rPr>
  </w:style>
  <w:style w:type="paragraph" w:styleId="EnvelopeReturn">
    <w:name w:val="envelope return"/>
    <w:basedOn w:val="Normal"/>
    <w:semiHidden/>
    <w:rsid w:val="00301436"/>
    <w:rPr>
      <w:i/>
    </w:rPr>
  </w:style>
  <w:style w:type="paragraph" w:customStyle="1" w:styleId="Index">
    <w:name w:val="Index"/>
    <w:basedOn w:val="Normal"/>
    <w:rsid w:val="00301436"/>
    <w:pPr>
      <w:suppressLineNumbers/>
    </w:pPr>
  </w:style>
  <w:style w:type="paragraph" w:customStyle="1" w:styleId="Quotations">
    <w:name w:val="Quotations"/>
    <w:basedOn w:val="Normal"/>
    <w:rsid w:val="00301436"/>
    <w:pPr>
      <w:pBdr>
        <w:top w:val="single" w:sz="1" w:space="7" w:color="C0C0C0"/>
        <w:left w:val="single" w:sz="1" w:space="7" w:color="C0C0C0"/>
        <w:bottom w:val="single" w:sz="1" w:space="7" w:color="C0C0C0"/>
        <w:right w:val="single" w:sz="1" w:space="7" w:color="C0C0C0"/>
      </w:pBdr>
      <w:spacing w:after="283"/>
      <w:ind w:left="567" w:right="567"/>
    </w:pPr>
  </w:style>
  <w:style w:type="paragraph" w:customStyle="1" w:styleId="HorizontalLine">
    <w:name w:val="Horizontal Line"/>
    <w:basedOn w:val="Normal"/>
    <w:next w:val="BodyText"/>
    <w:rsid w:val="00301436"/>
    <w:pPr>
      <w:pBdr>
        <w:bottom w:val="double" w:sz="1" w:space="0" w:color="808080"/>
      </w:pBdr>
      <w:spacing w:after="283"/>
    </w:pPr>
    <w:rPr>
      <w:sz w:val="12"/>
    </w:rPr>
  </w:style>
  <w:style w:type="character" w:customStyle="1" w:styleId="FooterChar">
    <w:name w:val="Footer Char"/>
    <w:basedOn w:val="DefaultParagraphFont"/>
    <w:link w:val="Footer"/>
    <w:uiPriority w:val="99"/>
    <w:rsid w:val="007760DA"/>
    <w:rPr>
      <w:sz w:val="24"/>
      <w:szCs w:val="24"/>
    </w:rPr>
  </w:style>
  <w:style w:type="character" w:customStyle="1" w:styleId="Heading1Char">
    <w:name w:val="Heading 1 Char"/>
    <w:basedOn w:val="DefaultParagraphFont"/>
    <w:link w:val="Heading1"/>
    <w:uiPriority w:val="9"/>
    <w:rsid w:val="00F43FD8"/>
    <w:rPr>
      <w:rFonts w:ascii="Thorndale" w:eastAsia="HG Mincho Light J" w:hAnsi="Thorndale" w:cs="Arial Unicode MS"/>
      <w:b/>
      <w:bCs/>
      <w:color w:val="000000"/>
      <w:sz w:val="32"/>
      <w:szCs w:val="32"/>
    </w:rPr>
  </w:style>
  <w:style w:type="character" w:customStyle="1" w:styleId="Heading2Char">
    <w:name w:val="Heading 2 Char"/>
    <w:basedOn w:val="DefaultParagraphFont"/>
    <w:link w:val="Heading2"/>
    <w:uiPriority w:val="9"/>
    <w:rsid w:val="00F43FD8"/>
    <w:rPr>
      <w:rFonts w:ascii="Albany" w:eastAsia="HG Mincho Light J" w:hAnsi="Albany" w:cs="Arial Unicode MS"/>
      <w:b/>
      <w:bCs/>
      <w:i/>
      <w:iCs/>
      <w:color w:val="000000"/>
      <w:sz w:val="28"/>
      <w:szCs w:val="28"/>
    </w:rPr>
  </w:style>
  <w:style w:type="character" w:customStyle="1" w:styleId="HeaderChar">
    <w:name w:val="Header Char"/>
    <w:basedOn w:val="DefaultParagraphFont"/>
    <w:link w:val="Header"/>
    <w:uiPriority w:val="99"/>
    <w:semiHidden/>
    <w:rsid w:val="00F43FD8"/>
    <w:rPr>
      <w:color w:val="000000"/>
      <w:sz w:val="24"/>
      <w:szCs w:val="24"/>
    </w:rPr>
  </w:style>
  <w:style w:type="table" w:styleId="TableGrid">
    <w:name w:val="Table Grid"/>
    <w:basedOn w:val="TableNormal"/>
    <w:rsid w:val="00F43FD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rsid w:val="00F43FD8"/>
    <w:rPr>
      <w:color w:val="000000"/>
      <w:sz w:val="24"/>
      <w:szCs w:val="24"/>
    </w:rPr>
  </w:style>
  <w:style w:type="paragraph" w:styleId="BalloonText">
    <w:name w:val="Balloon Text"/>
    <w:basedOn w:val="Normal"/>
    <w:link w:val="BalloonTextChar"/>
    <w:uiPriority w:val="99"/>
    <w:semiHidden/>
    <w:unhideWhenUsed/>
    <w:rsid w:val="00F43FD8"/>
    <w:pPr>
      <w:widowControl/>
      <w:suppressAutoHyphens w:val="0"/>
    </w:pPr>
    <w:rPr>
      <w:rFonts w:ascii="Tahoma" w:eastAsia="Calibri" w:hAnsi="Tahoma" w:cs="Tahoma"/>
      <w:color w:val="auto"/>
      <w:sz w:val="16"/>
      <w:szCs w:val="16"/>
    </w:rPr>
  </w:style>
  <w:style w:type="character" w:customStyle="1" w:styleId="BalloonTextChar">
    <w:name w:val="Balloon Text Char"/>
    <w:basedOn w:val="DefaultParagraphFont"/>
    <w:link w:val="BalloonText"/>
    <w:uiPriority w:val="99"/>
    <w:semiHidden/>
    <w:rsid w:val="00F43FD8"/>
    <w:rPr>
      <w:rFonts w:ascii="Tahoma" w:eastAsia="Calibri" w:hAnsi="Tahoma" w:cs="Tahoma"/>
      <w:sz w:val="16"/>
      <w:szCs w:val="16"/>
    </w:rPr>
  </w:style>
  <w:style w:type="character" w:customStyle="1" w:styleId="FootnoteTextChar">
    <w:name w:val="Footnote Text Char"/>
    <w:basedOn w:val="DefaultParagraphFont"/>
    <w:link w:val="FootnoteText"/>
    <w:uiPriority w:val="99"/>
    <w:rsid w:val="00F43FD8"/>
    <w:rPr>
      <w:color w:val="000000"/>
    </w:rPr>
  </w:style>
  <w:style w:type="paragraph" w:styleId="DocumentMap">
    <w:name w:val="Document Map"/>
    <w:basedOn w:val="Normal"/>
    <w:link w:val="DocumentMapChar"/>
    <w:uiPriority w:val="99"/>
    <w:semiHidden/>
    <w:unhideWhenUsed/>
    <w:rsid w:val="00F43FD8"/>
    <w:pPr>
      <w:widowControl/>
      <w:suppressAutoHyphens w:val="0"/>
    </w:pPr>
    <w:rPr>
      <w:rFonts w:ascii="Tahoma" w:eastAsia="Calibri" w:hAnsi="Tahoma" w:cs="Tahoma"/>
      <w:color w:val="auto"/>
      <w:sz w:val="16"/>
      <w:szCs w:val="16"/>
      <w:lang w:val="en-GB"/>
    </w:rPr>
  </w:style>
  <w:style w:type="character" w:customStyle="1" w:styleId="DocumentMapChar">
    <w:name w:val="Document Map Char"/>
    <w:basedOn w:val="DefaultParagraphFont"/>
    <w:link w:val="DocumentMap"/>
    <w:uiPriority w:val="99"/>
    <w:semiHidden/>
    <w:rsid w:val="00F43FD8"/>
    <w:rPr>
      <w:rFonts w:ascii="Tahoma" w:eastAsia="Calibri" w:hAnsi="Tahoma" w:cs="Tahoma"/>
      <w:sz w:val="16"/>
      <w:szCs w:val="16"/>
      <w:lang w:val="en-GB"/>
    </w:rPr>
  </w:style>
  <w:style w:type="paragraph" w:styleId="EndnoteText">
    <w:name w:val="endnote text"/>
    <w:basedOn w:val="Normal"/>
    <w:link w:val="EndnoteTextChar"/>
    <w:uiPriority w:val="99"/>
    <w:semiHidden/>
    <w:unhideWhenUsed/>
    <w:rsid w:val="00F43FD8"/>
    <w:pPr>
      <w:widowControl/>
      <w:suppressAutoHyphens w:val="0"/>
      <w:spacing w:after="200" w:line="276" w:lineRule="auto"/>
    </w:pPr>
    <w:rPr>
      <w:rFonts w:eastAsia="Calibri"/>
      <w:color w:val="auto"/>
      <w:sz w:val="20"/>
      <w:szCs w:val="20"/>
      <w:lang w:val="en-GB"/>
    </w:rPr>
  </w:style>
  <w:style w:type="character" w:customStyle="1" w:styleId="EndnoteTextChar">
    <w:name w:val="Endnote Text Char"/>
    <w:basedOn w:val="DefaultParagraphFont"/>
    <w:link w:val="EndnoteText"/>
    <w:uiPriority w:val="99"/>
    <w:semiHidden/>
    <w:rsid w:val="00F43FD8"/>
    <w:rPr>
      <w:rFonts w:eastAsia="Calibri"/>
      <w:lang w:val="en-GB"/>
    </w:rPr>
  </w:style>
  <w:style w:type="character" w:styleId="CommentReference">
    <w:name w:val="annotation reference"/>
    <w:basedOn w:val="DefaultParagraphFont"/>
    <w:uiPriority w:val="99"/>
    <w:semiHidden/>
    <w:unhideWhenUsed/>
    <w:rsid w:val="00F43FD8"/>
    <w:rPr>
      <w:sz w:val="16"/>
      <w:szCs w:val="16"/>
    </w:rPr>
  </w:style>
  <w:style w:type="paragraph" w:styleId="CommentText">
    <w:name w:val="annotation text"/>
    <w:basedOn w:val="Normal"/>
    <w:link w:val="CommentTextChar"/>
    <w:uiPriority w:val="99"/>
    <w:semiHidden/>
    <w:unhideWhenUsed/>
    <w:rsid w:val="00F43FD8"/>
    <w:pPr>
      <w:widowControl/>
      <w:suppressAutoHyphens w:val="0"/>
      <w:spacing w:after="200" w:line="276" w:lineRule="auto"/>
    </w:pPr>
    <w:rPr>
      <w:rFonts w:eastAsia="Calibri"/>
      <w:color w:val="auto"/>
      <w:sz w:val="20"/>
      <w:szCs w:val="20"/>
      <w:lang w:val="en-GB"/>
    </w:rPr>
  </w:style>
  <w:style w:type="character" w:customStyle="1" w:styleId="CommentTextChar">
    <w:name w:val="Comment Text Char"/>
    <w:basedOn w:val="DefaultParagraphFont"/>
    <w:link w:val="CommentText"/>
    <w:uiPriority w:val="99"/>
    <w:semiHidden/>
    <w:rsid w:val="00F43FD8"/>
    <w:rPr>
      <w:rFonts w:eastAsia="Calibri"/>
      <w:lang w:val="en-GB"/>
    </w:rPr>
  </w:style>
  <w:style w:type="paragraph" w:styleId="CommentSubject">
    <w:name w:val="annotation subject"/>
    <w:basedOn w:val="CommentText"/>
    <w:next w:val="CommentText"/>
    <w:link w:val="CommentSubjectChar"/>
    <w:uiPriority w:val="99"/>
    <w:semiHidden/>
    <w:unhideWhenUsed/>
    <w:rsid w:val="00F43FD8"/>
    <w:rPr>
      <w:b/>
      <w:bCs/>
    </w:rPr>
  </w:style>
  <w:style w:type="character" w:customStyle="1" w:styleId="CommentSubjectChar">
    <w:name w:val="Comment Subject Char"/>
    <w:basedOn w:val="CommentTextChar"/>
    <w:link w:val="CommentSubject"/>
    <w:uiPriority w:val="99"/>
    <w:semiHidden/>
    <w:rsid w:val="00F43FD8"/>
    <w:rPr>
      <w:b/>
      <w:bCs/>
    </w:rPr>
  </w:style>
  <w:style w:type="character" w:customStyle="1" w:styleId="Heading3Char">
    <w:name w:val="Heading 3 Char"/>
    <w:basedOn w:val="DefaultParagraphFont"/>
    <w:link w:val="Heading3"/>
    <w:rsid w:val="00F43FD8"/>
    <w:rPr>
      <w:rFonts w:ascii="Albany" w:eastAsia="HG Mincho Light J" w:hAnsi="Albany" w:cs="Arial Unicode MS"/>
      <w:b/>
      <w:bCs/>
      <w:color w:val="000000"/>
      <w:sz w:val="26"/>
      <w:szCs w:val="26"/>
    </w:rPr>
  </w:style>
  <w:style w:type="character" w:customStyle="1" w:styleId="Heading4Char">
    <w:name w:val="Heading 4 Char"/>
    <w:basedOn w:val="DefaultParagraphFont"/>
    <w:link w:val="Heading4"/>
    <w:rsid w:val="00F43FD8"/>
    <w:rPr>
      <w:rFonts w:ascii="Albany" w:eastAsia="HG Mincho Light J" w:hAnsi="Albany" w:cs="Arial Unicode MS"/>
      <w:b/>
      <w:bCs/>
      <w:i/>
      <w:iCs/>
      <w:color w:val="000000"/>
      <w:sz w:val="24"/>
      <w:szCs w:val="24"/>
    </w:rPr>
  </w:style>
  <w:style w:type="character" w:customStyle="1" w:styleId="Heading5Char">
    <w:name w:val="Heading 5 Char"/>
    <w:basedOn w:val="DefaultParagraphFont"/>
    <w:link w:val="Heading5"/>
    <w:rsid w:val="00F43FD8"/>
    <w:rPr>
      <w:rFonts w:ascii="Albany" w:eastAsia="HG Mincho Light J" w:hAnsi="Albany" w:cs="Arial Unicode MS"/>
      <w:b/>
      <w:bCs/>
      <w:color w:val="000000"/>
      <w:sz w:val="22"/>
      <w:szCs w:val="22"/>
    </w:rPr>
  </w:style>
  <w:style w:type="character" w:customStyle="1" w:styleId="Heading6Char">
    <w:name w:val="Heading 6 Char"/>
    <w:basedOn w:val="DefaultParagraphFont"/>
    <w:link w:val="Heading6"/>
    <w:rsid w:val="00F43FD8"/>
    <w:rPr>
      <w:rFonts w:ascii="Albany" w:eastAsia="HG Mincho Light J" w:hAnsi="Albany" w:cs="Arial Unicode MS"/>
      <w:b/>
      <w:bCs/>
      <w:color w:val="000000"/>
    </w:rPr>
  </w:style>
  <w:style w:type="numbering" w:customStyle="1" w:styleId="NoList1">
    <w:name w:val="No List1"/>
    <w:next w:val="NoList"/>
    <w:uiPriority w:val="99"/>
    <w:semiHidden/>
    <w:unhideWhenUsed/>
    <w:rsid w:val="00F43FD8"/>
  </w:style>
  <w:style w:type="table" w:customStyle="1" w:styleId="TableGrid1">
    <w:name w:val="Table Grid1"/>
    <w:basedOn w:val="TableNormal"/>
    <w:next w:val="TableGrid"/>
    <w:uiPriority w:val="59"/>
    <w:rsid w:val="00F43FD8"/>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F43FD8"/>
    <w:rPr>
      <w:rFonts w:ascii="Times New Roman" w:hAnsi="Times New Roman"/>
      <w:color w:val="auto"/>
    </w:rPr>
  </w:style>
  <w:style w:type="character" w:customStyle="1" w:styleId="c03">
    <w:name w:val="c03"/>
    <w:basedOn w:val="DefaultParagraphFont"/>
    <w:rsid w:val="00F43FD8"/>
  </w:style>
  <w:style w:type="character" w:customStyle="1" w:styleId="boldtext">
    <w:name w:val="boldtext"/>
    <w:basedOn w:val="DefaultParagraphFont"/>
    <w:rsid w:val="00F43FD8"/>
  </w:style>
  <w:style w:type="character" w:customStyle="1" w:styleId="bodytext0">
    <w:name w:val="bodytext"/>
    <w:basedOn w:val="DefaultParagraphFont"/>
    <w:rsid w:val="00F43FD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88C160C-B824-45BE-BA97-CCE40B56A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8210</Words>
  <Characters>46798</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dc:creator>
  <cp:keywords/>
  <cp:lastModifiedBy>Christine 2</cp:lastModifiedBy>
  <cp:revision>19</cp:revision>
  <cp:lastPrinted>2113-01-01T00:00:00Z</cp:lastPrinted>
  <dcterms:created xsi:type="dcterms:W3CDTF">2008-11-27T22:06:00Z</dcterms:created>
  <dcterms:modified xsi:type="dcterms:W3CDTF">2009-06-02T19:20:00Z</dcterms:modified>
</cp:coreProperties>
</file>